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ООО "ДЕЛЬТА"</w:t>
      </w:r>
    </w:p>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1-я очередь строительства 1-ой секции многоквартирного жилого дома по адресу: Калининградская область, г. Гурьевск, ул. Ленина</w:t>
      </w:r>
    </w:p>
    <w:p w:rsidR="00ED5FC4" w:rsidRPr="00ED5FC4" w:rsidRDefault="00ED5FC4" w:rsidP="00ED5FC4">
      <w:pPr>
        <w:spacing w:after="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Размещена на сайте</w:t>
      </w:r>
      <w:r w:rsidRPr="00ED5FC4">
        <w:rPr>
          <w:rFonts w:ascii="Arial" w:eastAsia="Times New Roman" w:hAnsi="Arial" w:cs="Arial"/>
          <w:color w:val="222222"/>
          <w:sz w:val="16"/>
        </w:rPr>
        <w:t> </w:t>
      </w:r>
      <w:proofErr w:type="spellStart"/>
      <w:r w:rsidRPr="00ED5FC4">
        <w:rPr>
          <w:rFonts w:ascii="inherit" w:eastAsia="Times New Roman" w:hAnsi="inherit" w:cs="Arial"/>
          <w:color w:val="222222"/>
          <w:sz w:val="16"/>
          <w:szCs w:val="16"/>
          <w:u w:val="single"/>
          <w:bdr w:val="none" w:sz="0" w:space="0" w:color="auto" w:frame="1"/>
        </w:rPr>
        <w:t>www.delta-kld.ru</w:t>
      </w:r>
      <w:proofErr w:type="spellEnd"/>
    </w:p>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jc w:val="right"/>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«Утверждаю»</w:t>
      </w:r>
    </w:p>
    <w:p w:rsidR="00ED5FC4" w:rsidRPr="00ED5FC4" w:rsidRDefault="00ED5FC4" w:rsidP="00ED5FC4">
      <w:pPr>
        <w:spacing w:after="360" w:line="236" w:lineRule="atLeast"/>
        <w:ind w:firstLine="480"/>
        <w:jc w:val="right"/>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«21» мая  2014  года</w:t>
      </w:r>
    </w:p>
    <w:p w:rsidR="00ED5FC4" w:rsidRPr="00ED5FC4" w:rsidRDefault="00ED5FC4" w:rsidP="00ED5FC4">
      <w:pPr>
        <w:spacing w:after="360" w:line="236" w:lineRule="atLeast"/>
        <w:ind w:firstLine="480"/>
        <w:jc w:val="right"/>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Генеральный директор ООО "ДЕЛЬТА" </w:t>
      </w:r>
    </w:p>
    <w:p w:rsidR="00ED5FC4" w:rsidRPr="00ED5FC4" w:rsidRDefault="00ED5FC4" w:rsidP="00ED5FC4">
      <w:pPr>
        <w:spacing w:after="360" w:line="236" w:lineRule="atLeast"/>
        <w:ind w:firstLine="480"/>
        <w:jc w:val="right"/>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xml:space="preserve">_________________________ В. А. </w:t>
      </w:r>
      <w:proofErr w:type="spellStart"/>
      <w:r w:rsidRPr="00ED5FC4">
        <w:rPr>
          <w:rFonts w:ascii="Arial" w:eastAsia="Times New Roman" w:hAnsi="Arial" w:cs="Arial"/>
          <w:b/>
          <w:bCs/>
          <w:color w:val="222222"/>
          <w:sz w:val="16"/>
        </w:rPr>
        <w:t>Меланьев</w:t>
      </w:r>
      <w:proofErr w:type="spellEnd"/>
    </w:p>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I. ИНФОРМАЦИЯ О ЗАСТРОЙЩИКЕ.</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1. Фирменное наименование:</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Общество с ограниченной ответственностью "ДЕЛЬТА" (ООО "ДЕЛЬТА")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Место нахождения: </w:t>
      </w:r>
      <w:r w:rsidRPr="00ED5FC4">
        <w:rPr>
          <w:rFonts w:ascii="Arial" w:eastAsia="Times New Roman" w:hAnsi="Arial" w:cs="Arial"/>
          <w:color w:val="222222"/>
          <w:sz w:val="16"/>
          <w:szCs w:val="16"/>
        </w:rPr>
        <w:t>Юридический адрес: 236038, г. Калининград, ул. Орудийная, д. 14-2</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Адрес:</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236038, г. Калининград, ул. Невского д. 36-В</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Телефон: +7 4012 34 70 44, +7 906 2163081</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Режим работы застройщика:</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с 09-00 до 18-00, без обеда, ежедневно, кроме выходных: субботы, воскресенья и праздничных дней, установленных в соответствии с законодательством РФ.</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2. Сведения о государственной регистрации застройщика.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xml:space="preserve">Свидетельство  о государственной регистрации юридического лица  Серия 39 № 001630792, зарегистрировано налоговым органом налоговой службы № 1 по Калининградской области от  02.09.2013г. Государственный регистрационный номер 1133926032635, регистрирующий орган </w:t>
      </w:r>
      <w:proofErr w:type="spellStart"/>
      <w:r w:rsidRPr="00ED5FC4">
        <w:rPr>
          <w:rFonts w:ascii="Arial" w:eastAsia="Times New Roman" w:hAnsi="Arial" w:cs="Arial"/>
          <w:color w:val="222222"/>
          <w:sz w:val="16"/>
          <w:szCs w:val="16"/>
        </w:rPr>
        <w:t>Межрайоная</w:t>
      </w:r>
      <w:proofErr w:type="spellEnd"/>
      <w:r w:rsidRPr="00ED5FC4">
        <w:rPr>
          <w:rFonts w:ascii="Arial" w:eastAsia="Times New Roman" w:hAnsi="Arial" w:cs="Arial"/>
          <w:color w:val="222222"/>
          <w:sz w:val="16"/>
          <w:szCs w:val="16"/>
        </w:rPr>
        <w:t xml:space="preserve"> Инспекция налоговой службы № 9 по г. Калининграда, дата регистрации 02.09.2013 г.</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3. Сведения  об учредителях застройщика с указанием процента голосов, которым владеет учредитель в органе управления:</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xml:space="preserve">Граждане РФ – </w:t>
      </w:r>
      <w:proofErr w:type="spellStart"/>
      <w:r w:rsidRPr="00ED5FC4">
        <w:rPr>
          <w:rFonts w:ascii="Arial" w:eastAsia="Times New Roman" w:hAnsi="Arial" w:cs="Arial"/>
          <w:color w:val="222222"/>
          <w:sz w:val="16"/>
          <w:szCs w:val="16"/>
        </w:rPr>
        <w:t>Курятникова</w:t>
      </w:r>
      <w:proofErr w:type="spellEnd"/>
      <w:r w:rsidRPr="00ED5FC4">
        <w:rPr>
          <w:rFonts w:ascii="Arial" w:eastAsia="Times New Roman" w:hAnsi="Arial" w:cs="Arial"/>
          <w:color w:val="222222"/>
          <w:sz w:val="16"/>
          <w:szCs w:val="16"/>
        </w:rPr>
        <w:t xml:space="preserve"> Ирина Валерьевна – 90 %, </w:t>
      </w:r>
      <w:proofErr w:type="spellStart"/>
      <w:r w:rsidRPr="00ED5FC4">
        <w:rPr>
          <w:rFonts w:ascii="Arial" w:eastAsia="Times New Roman" w:hAnsi="Arial" w:cs="Arial"/>
          <w:color w:val="222222"/>
          <w:sz w:val="16"/>
          <w:szCs w:val="16"/>
        </w:rPr>
        <w:t>Меланьев</w:t>
      </w:r>
      <w:proofErr w:type="spellEnd"/>
      <w:r w:rsidRPr="00ED5FC4">
        <w:rPr>
          <w:rFonts w:ascii="Arial" w:eastAsia="Times New Roman" w:hAnsi="Arial" w:cs="Arial"/>
          <w:color w:val="222222"/>
          <w:sz w:val="16"/>
          <w:szCs w:val="16"/>
        </w:rPr>
        <w:t xml:space="preserve"> Вячеслав Анатольевич – 10  %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lastRenderedPageBreak/>
        <w:t>4. Информация о проектах строительства объектов недвижимости, в которых принимал участие застройщик в течение трех лет, предшествующих опубликованию данной проектной декларации: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Нет.</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br/>
      </w:r>
      <w:r w:rsidRPr="00ED5FC4">
        <w:rPr>
          <w:rFonts w:ascii="Arial" w:eastAsia="Times New Roman" w:hAnsi="Arial" w:cs="Arial"/>
          <w:b/>
          <w:bCs/>
          <w:color w:val="222222"/>
          <w:sz w:val="16"/>
        </w:rPr>
        <w:t>5. Вид лицензируемой деятельности: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Застройщик не осуществляет лицензируемых видов деятельности.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6. Финансовый результат 2013 года </w:t>
      </w:r>
      <w:r w:rsidRPr="00ED5FC4">
        <w:rPr>
          <w:rFonts w:ascii="Arial" w:eastAsia="Times New Roman" w:hAnsi="Arial" w:cs="Arial"/>
          <w:color w:val="222222"/>
          <w:sz w:val="16"/>
          <w:szCs w:val="16"/>
        </w:rPr>
        <w:t> составил -  (-149) тыс. руб.;</w:t>
      </w:r>
    </w:p>
    <w:p w:rsidR="00ED5FC4" w:rsidRPr="00ED5FC4" w:rsidRDefault="00ED5FC4" w:rsidP="00ED5FC4">
      <w:pPr>
        <w:spacing w:after="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br/>
        <w:t>Размер кредиторской задолженности  на 31.12.2013 года составил -  </w:t>
      </w:r>
      <w:r w:rsidRPr="00ED5FC4">
        <w:rPr>
          <w:rFonts w:ascii="inherit" w:eastAsia="Times New Roman" w:hAnsi="inherit" w:cs="Arial"/>
          <w:color w:val="222222"/>
          <w:sz w:val="16"/>
          <w:szCs w:val="16"/>
          <w:bdr w:val="none" w:sz="0" w:space="0" w:color="auto" w:frame="1"/>
        </w:rPr>
        <w:t>4563</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тыс.  руб.</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в.т.ч. краткосрочные заемные средства  -  4445 тыс. руб.;</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Размер дебиторской задолженности  на 31.12.2013 года составил – 310 тыс. руб.</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jc w:val="center"/>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II. ИНФОРМАЦИЯ О ПРОЕКТЕ СТРОИТЕЛЬСТВА.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1. Цель проекта:</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1-я очередь строительства 1-ой секции многоквартирного жилого дома по адресу: Калининградская область, г. Гурьевск, ул. Ленина</w:t>
      </w:r>
      <w:r w:rsidRPr="00ED5FC4">
        <w:rPr>
          <w:rFonts w:ascii="Arial" w:eastAsia="Times New Roman" w:hAnsi="Arial" w:cs="Arial"/>
          <w:b/>
          <w:bCs/>
          <w:color w:val="222222"/>
          <w:sz w:val="16"/>
        </w:rPr>
        <w:t>.</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Этапы и срок реализации строительства: </w:t>
      </w:r>
      <w:r w:rsidRPr="00ED5FC4">
        <w:rPr>
          <w:rFonts w:ascii="Arial" w:eastAsia="Times New Roman" w:hAnsi="Arial" w:cs="Arial"/>
          <w:color w:val="222222"/>
          <w:sz w:val="16"/>
          <w:szCs w:val="16"/>
        </w:rPr>
        <w:t>Начало строительства – май 2014 года, срок окончания строительства - декабрь 2015 года.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br/>
      </w:r>
      <w:r w:rsidRPr="00ED5FC4">
        <w:rPr>
          <w:rFonts w:ascii="Arial" w:eastAsia="Times New Roman" w:hAnsi="Arial" w:cs="Arial"/>
          <w:b/>
          <w:bCs/>
          <w:color w:val="222222"/>
          <w:sz w:val="16"/>
        </w:rPr>
        <w:t>            2. Разрешение на строительство:</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  RU 39310000-344/2014 MO выдано: Администрацией  </w:t>
      </w:r>
      <w:proofErr w:type="spellStart"/>
      <w:r w:rsidRPr="00ED5FC4">
        <w:rPr>
          <w:rFonts w:ascii="Arial" w:eastAsia="Times New Roman" w:hAnsi="Arial" w:cs="Arial"/>
          <w:color w:val="222222"/>
          <w:sz w:val="16"/>
          <w:szCs w:val="16"/>
        </w:rPr>
        <w:t>Гурьевского</w:t>
      </w:r>
      <w:proofErr w:type="spellEnd"/>
      <w:r w:rsidRPr="00ED5FC4">
        <w:rPr>
          <w:rFonts w:ascii="Arial" w:eastAsia="Times New Roman" w:hAnsi="Arial" w:cs="Arial"/>
          <w:color w:val="222222"/>
          <w:sz w:val="16"/>
          <w:szCs w:val="16"/>
        </w:rPr>
        <w:t xml:space="preserve"> муниципального района 21.03.2014г. Срок действия до 26 марта  2015 года.</w:t>
      </w:r>
    </w:p>
    <w:p w:rsidR="00ED5FC4" w:rsidRPr="00ED5FC4" w:rsidRDefault="00ED5FC4" w:rsidP="00ED5FC4">
      <w:pPr>
        <w:spacing w:after="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3. Права застройщика на земельный участок: </w:t>
      </w:r>
      <w:r w:rsidRPr="00ED5FC4">
        <w:rPr>
          <w:rFonts w:ascii="inherit" w:eastAsia="Times New Roman" w:hAnsi="inherit" w:cs="Arial"/>
          <w:color w:val="222222"/>
          <w:sz w:val="16"/>
          <w:szCs w:val="16"/>
          <w:bdr w:val="none" w:sz="0" w:space="0" w:color="auto" w:frame="1"/>
        </w:rPr>
        <w:t>Земельный участок площадью 1540 кв. м., с кадастровым номером 39:03:010023:13, расположенный по адресу: Россия, Калининградская область, г. Гурьевск, ул. Ленина, принадлежит ООО "ДЕЛЬТА" на основании договора купли-продажи земельного участка от 12.09.2013 г, и Свидетельства о регистрации права 39-АБ №259841 от 26.11.2013 г.</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Благоустройство территории: </w:t>
      </w:r>
      <w:r w:rsidRPr="00ED5FC4">
        <w:rPr>
          <w:rFonts w:ascii="Arial" w:eastAsia="Times New Roman" w:hAnsi="Arial" w:cs="Arial"/>
          <w:color w:val="222222"/>
          <w:sz w:val="16"/>
          <w:szCs w:val="16"/>
        </w:rPr>
        <w:t>Проектом предусмотрено: детская игровая площадка, площадки для отдыха взрослых, спортивная площадка, хозяйственная площадка, площадка для мусоросборников, площадки для парковки автомобилей. Все площадки оборудуются малыми архитектурными формами. На дворовой территории размещаются площадки благоустройства (озеленения).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4. Описание строящегося объекта.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lastRenderedPageBreak/>
        <w:t>Местоположение строящегося объекта:</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город Гурьевск, ул. Ленина. Границами участка служат: с севера –заброшенный бункер, свободная от застройки территория; с юга - существующая автостоянка, ул. Ленина; с запада - нежилые  капитальные строения; с востока - нежилые капитальные строения.</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Описание строящегося многоквартирного жилого дома, технические характеристики: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Площадь земельного участка – 0,154 га.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Количество этажей  - 7 с мансардным и подвальным этажом</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Количество секций - 2 шт.,</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Общая площадь здания – 2114,8  кв. м.,</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Строительный объем – 9435,85  куб. м.,</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Здание в плане Г-образной формы с размерами в осях 24,90*47,50 м. Высота подвала составляет 2,12 м (в чистоте), первого этажа - 3,90 м (в  частоте - 3,59 м), высота второго - восьмого этажей - 3,00 м (в чистоте - 2,74 м).</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На первом этаже запроектированы встроенные помещения административного назначения: пять офисных блоков с изолированными входами.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xml:space="preserve">В подвале располагаются </w:t>
      </w:r>
      <w:proofErr w:type="spellStart"/>
      <w:r w:rsidRPr="00ED5FC4">
        <w:rPr>
          <w:rFonts w:ascii="Arial" w:eastAsia="Times New Roman" w:hAnsi="Arial" w:cs="Arial"/>
          <w:color w:val="222222"/>
          <w:sz w:val="16"/>
          <w:szCs w:val="16"/>
        </w:rPr>
        <w:t>внеквартирные</w:t>
      </w:r>
      <w:proofErr w:type="spellEnd"/>
      <w:r w:rsidRPr="00ED5FC4">
        <w:rPr>
          <w:rFonts w:ascii="Arial" w:eastAsia="Times New Roman" w:hAnsi="Arial" w:cs="Arial"/>
          <w:color w:val="222222"/>
          <w:sz w:val="16"/>
          <w:szCs w:val="16"/>
        </w:rPr>
        <w:t xml:space="preserve"> хозяйственные кладовые и технические помещения для  жилой части здания - кладовая, уборочного инвентаря, </w:t>
      </w:r>
      <w:proofErr w:type="spellStart"/>
      <w:r w:rsidRPr="00ED5FC4">
        <w:rPr>
          <w:rFonts w:ascii="Arial" w:eastAsia="Times New Roman" w:hAnsi="Arial" w:cs="Arial"/>
          <w:color w:val="222222"/>
          <w:sz w:val="16"/>
          <w:szCs w:val="16"/>
        </w:rPr>
        <w:t>электрощитовая</w:t>
      </w:r>
      <w:proofErr w:type="spellEnd"/>
      <w:r w:rsidRPr="00ED5FC4">
        <w:rPr>
          <w:rFonts w:ascii="Arial" w:eastAsia="Times New Roman" w:hAnsi="Arial" w:cs="Arial"/>
          <w:color w:val="222222"/>
          <w:sz w:val="16"/>
          <w:szCs w:val="16"/>
        </w:rPr>
        <w:t>, водомерный узел.</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xml:space="preserve">Каждая квартира имеет холл (прихожую), кухню, санузел, остекленную лоджию или балкон. Квартиры оснащены всеми видами инженерно-технического обеспечения: электроснабжением, водоснабжением и канализацией; для автономного теплоснабжения и горячего водоснабжения предусмотрены </w:t>
      </w:r>
      <w:proofErr w:type="spellStart"/>
      <w:r w:rsidRPr="00ED5FC4">
        <w:rPr>
          <w:rFonts w:ascii="Arial" w:eastAsia="Times New Roman" w:hAnsi="Arial" w:cs="Arial"/>
          <w:color w:val="222222"/>
          <w:sz w:val="16"/>
          <w:szCs w:val="16"/>
        </w:rPr>
        <w:t>двуконтурные</w:t>
      </w:r>
      <w:proofErr w:type="spellEnd"/>
      <w:r w:rsidRPr="00ED5FC4">
        <w:rPr>
          <w:rFonts w:ascii="Arial" w:eastAsia="Times New Roman" w:hAnsi="Arial" w:cs="Arial"/>
          <w:color w:val="222222"/>
          <w:sz w:val="16"/>
          <w:szCs w:val="16"/>
        </w:rPr>
        <w:t xml:space="preserve"> </w:t>
      </w:r>
      <w:proofErr w:type="spellStart"/>
      <w:r w:rsidRPr="00ED5FC4">
        <w:rPr>
          <w:rFonts w:ascii="Arial" w:eastAsia="Times New Roman" w:hAnsi="Arial" w:cs="Arial"/>
          <w:color w:val="222222"/>
          <w:sz w:val="16"/>
          <w:szCs w:val="16"/>
        </w:rPr>
        <w:t>теплогенераторы</w:t>
      </w:r>
      <w:proofErr w:type="spellEnd"/>
      <w:r w:rsidRPr="00ED5FC4">
        <w:rPr>
          <w:rFonts w:ascii="Arial" w:eastAsia="Times New Roman" w:hAnsi="Arial" w:cs="Arial"/>
          <w:color w:val="222222"/>
          <w:sz w:val="16"/>
          <w:szCs w:val="16"/>
        </w:rPr>
        <w:t xml:space="preserve"> с закрытой камерой сгорания, работающие на природном газе: для </w:t>
      </w:r>
      <w:proofErr w:type="spellStart"/>
      <w:r w:rsidRPr="00ED5FC4">
        <w:rPr>
          <w:rFonts w:ascii="Arial" w:eastAsia="Times New Roman" w:hAnsi="Arial" w:cs="Arial"/>
          <w:color w:val="222222"/>
          <w:sz w:val="16"/>
          <w:szCs w:val="16"/>
        </w:rPr>
        <w:t>пищеприготовления</w:t>
      </w:r>
      <w:proofErr w:type="spellEnd"/>
      <w:r w:rsidRPr="00ED5FC4">
        <w:rPr>
          <w:rFonts w:ascii="Arial" w:eastAsia="Times New Roman" w:hAnsi="Arial" w:cs="Arial"/>
          <w:color w:val="222222"/>
          <w:sz w:val="16"/>
          <w:szCs w:val="16"/>
        </w:rPr>
        <w:t xml:space="preserve"> используются газовые плиты.</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2100*1100 мм, предусматривающими возможность размещения носилок.</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Нормативное естественное освещение помещений с постоянным пребыванием людей обеспечено при помощи окон, размеры которых определены расчетом.</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Защита от потенциальных источников шума обеспечивается выбором материалов и толщин внутренних стен и перегородок, применением теплоизоляционных и звукоизоляционных слоев в конструкциях наружных стен и перекрытий, оконных блоков со звукоизолирующими свойствами, планировочными и конструктивными решениями по снижению шумового и вибрационного воздействия со  стороны лифтовых шахт.</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Внешний вид здания формируется с помощью сложной скатной кровли, крытой керамической черепицей, фронтонов, выступающих за плоскость наружных стен объемов, объединяющих остекленные лоджии и эркеры, применения декоративной тонкослойной штукатурки в отделке фасадов.</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5. Информация о количестве в составе многоквартирного дома самостоятельных частей, их технические характеристики: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В доме:</w:t>
      </w:r>
    </w:p>
    <w:p w:rsidR="00ED5FC4" w:rsidRPr="00ED5FC4" w:rsidRDefault="00ED5FC4" w:rsidP="00ED5FC4">
      <w:pPr>
        <w:numPr>
          <w:ilvl w:val="0"/>
          <w:numId w:val="1"/>
        </w:numPr>
        <w:spacing w:after="0" w:line="236" w:lineRule="atLeast"/>
        <w:ind w:left="0" w:right="360"/>
        <w:textAlignment w:val="baseline"/>
        <w:rPr>
          <w:rFonts w:ascii="inherit" w:eastAsia="Times New Roman" w:hAnsi="inherit" w:cs="Arial"/>
          <w:color w:val="222222"/>
          <w:sz w:val="16"/>
          <w:szCs w:val="16"/>
        </w:rPr>
      </w:pPr>
      <w:r w:rsidRPr="00ED5FC4">
        <w:rPr>
          <w:rFonts w:ascii="inherit" w:eastAsia="Times New Roman" w:hAnsi="inherit" w:cs="Arial"/>
          <w:b/>
          <w:bCs/>
          <w:color w:val="222222"/>
          <w:sz w:val="16"/>
        </w:rPr>
        <w:lastRenderedPageBreak/>
        <w:t>63 квартиры </w:t>
      </w:r>
      <w:r w:rsidRPr="00ED5FC4">
        <w:rPr>
          <w:rFonts w:ascii="inherit" w:eastAsia="Times New Roman" w:hAnsi="inherit" w:cs="Arial"/>
          <w:color w:val="222222"/>
          <w:sz w:val="16"/>
          <w:szCs w:val="16"/>
        </w:rPr>
        <w:t>из них:</w:t>
      </w:r>
    </w:p>
    <w:p w:rsidR="00ED5FC4" w:rsidRPr="00ED5FC4" w:rsidRDefault="00ED5FC4" w:rsidP="00ED5FC4">
      <w:pPr>
        <w:spacing w:after="360" w:line="236" w:lineRule="atLeast"/>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tbl>
      <w:tblPr>
        <w:tblW w:w="7135" w:type="dxa"/>
        <w:tblCellSpacing w:w="0" w:type="dxa"/>
        <w:tblCellMar>
          <w:left w:w="0" w:type="dxa"/>
          <w:right w:w="0" w:type="dxa"/>
        </w:tblCellMar>
        <w:tblLook w:val="04A0"/>
      </w:tblPr>
      <w:tblGrid>
        <w:gridCol w:w="1945"/>
        <w:gridCol w:w="1720"/>
        <w:gridCol w:w="1750"/>
        <w:gridCol w:w="1720"/>
      </w:tblGrid>
      <w:tr w:rsidR="00ED5FC4" w:rsidRPr="00ED5FC4" w:rsidTr="00ED5FC4">
        <w:trPr>
          <w:tblCellSpacing w:w="0" w:type="dxa"/>
        </w:trPr>
        <w:tc>
          <w:tcPr>
            <w:tcW w:w="4215" w:type="dxa"/>
            <w:gridSpan w:val="2"/>
            <w:tcBorders>
              <w:top w:val="nil"/>
              <w:left w:val="nil"/>
              <w:bottom w:val="nil"/>
              <w:right w:val="nil"/>
            </w:tcBorders>
            <w:vAlign w:val="bottom"/>
            <w:hideMark/>
          </w:tcPr>
          <w:p w:rsidR="00ED5FC4" w:rsidRPr="00ED5FC4" w:rsidRDefault="00ED5FC4" w:rsidP="00ED5FC4">
            <w:pPr>
              <w:spacing w:after="360" w:line="236" w:lineRule="atLeast"/>
              <w:jc w:val="center"/>
              <w:textAlignment w:val="baseline"/>
              <w:rPr>
                <w:rFonts w:ascii="inherit" w:eastAsia="Times New Roman" w:hAnsi="inherit" w:cs="Arial"/>
                <w:color w:val="222222"/>
                <w:sz w:val="16"/>
                <w:szCs w:val="16"/>
              </w:rPr>
            </w:pPr>
            <w:r w:rsidRPr="00ED5FC4">
              <w:rPr>
                <w:rFonts w:ascii="inherit" w:eastAsia="Times New Roman" w:hAnsi="inherit" w:cs="Arial"/>
                <w:b/>
                <w:bCs/>
                <w:color w:val="222222"/>
                <w:sz w:val="16"/>
              </w:rPr>
              <w:t>I - секция</w:t>
            </w:r>
          </w:p>
        </w:tc>
        <w:tc>
          <w:tcPr>
            <w:tcW w:w="3975" w:type="dxa"/>
            <w:gridSpan w:val="2"/>
            <w:tcBorders>
              <w:top w:val="nil"/>
              <w:left w:val="nil"/>
              <w:bottom w:val="nil"/>
              <w:right w:val="nil"/>
            </w:tcBorders>
            <w:vAlign w:val="bottom"/>
            <w:hideMark/>
          </w:tcPr>
          <w:p w:rsidR="00ED5FC4" w:rsidRPr="00ED5FC4" w:rsidRDefault="00ED5FC4" w:rsidP="00ED5FC4">
            <w:pPr>
              <w:spacing w:after="360" w:line="236" w:lineRule="atLeast"/>
              <w:jc w:val="center"/>
              <w:textAlignment w:val="baseline"/>
              <w:rPr>
                <w:rFonts w:ascii="inherit" w:eastAsia="Times New Roman" w:hAnsi="inherit" w:cs="Arial"/>
                <w:color w:val="222222"/>
                <w:sz w:val="16"/>
                <w:szCs w:val="16"/>
              </w:rPr>
            </w:pPr>
            <w:r w:rsidRPr="00ED5FC4">
              <w:rPr>
                <w:rFonts w:ascii="inherit" w:eastAsia="Times New Roman" w:hAnsi="inherit" w:cs="Arial"/>
                <w:b/>
                <w:bCs/>
                <w:color w:val="222222"/>
                <w:sz w:val="16"/>
              </w:rPr>
              <w:t>II - секция</w:t>
            </w:r>
          </w:p>
        </w:tc>
      </w:tr>
      <w:tr w:rsidR="00ED5FC4" w:rsidRPr="00ED5FC4" w:rsidTr="00ED5FC4">
        <w:trPr>
          <w:tblCellSpacing w:w="0" w:type="dxa"/>
        </w:trPr>
        <w:tc>
          <w:tcPr>
            <w:tcW w:w="222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Кол-во комнат</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Кол-во квартир</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Кол-во комнат</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Кол-во квартир</w:t>
            </w:r>
          </w:p>
        </w:tc>
      </w:tr>
      <w:tr w:rsidR="00ED5FC4" w:rsidRPr="00ED5FC4" w:rsidTr="00ED5FC4">
        <w:trPr>
          <w:tblCellSpacing w:w="0" w:type="dxa"/>
        </w:trPr>
        <w:tc>
          <w:tcPr>
            <w:tcW w:w="222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14</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14</w:t>
            </w:r>
          </w:p>
        </w:tc>
      </w:tr>
      <w:tr w:rsidR="00ED5FC4" w:rsidRPr="00ED5FC4" w:rsidTr="00ED5FC4">
        <w:trPr>
          <w:tblCellSpacing w:w="0" w:type="dxa"/>
        </w:trPr>
        <w:tc>
          <w:tcPr>
            <w:tcW w:w="222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2-комнатных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14</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2-комнатных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14</w:t>
            </w:r>
          </w:p>
        </w:tc>
      </w:tr>
      <w:tr w:rsidR="00ED5FC4" w:rsidRPr="00ED5FC4" w:rsidTr="00ED5FC4">
        <w:trPr>
          <w:tblCellSpacing w:w="0" w:type="dxa"/>
        </w:trPr>
        <w:tc>
          <w:tcPr>
            <w:tcW w:w="222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3-комнатных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0</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3-комнатных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7</w:t>
            </w:r>
          </w:p>
        </w:tc>
      </w:tr>
      <w:tr w:rsidR="00ED5FC4" w:rsidRPr="00ED5FC4" w:rsidTr="00ED5FC4">
        <w:trPr>
          <w:tblCellSpacing w:w="0" w:type="dxa"/>
        </w:trPr>
        <w:tc>
          <w:tcPr>
            <w:tcW w:w="222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4-комнатных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0</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4-комнатных</w:t>
            </w:r>
          </w:p>
        </w:tc>
        <w:tc>
          <w:tcPr>
            <w:tcW w:w="1980" w:type="dxa"/>
            <w:tcBorders>
              <w:top w:val="nil"/>
              <w:left w:val="nil"/>
              <w:bottom w:val="nil"/>
              <w:right w:val="nil"/>
            </w:tcBorders>
            <w:vAlign w:val="bottom"/>
            <w:hideMark/>
          </w:tcPr>
          <w:p w:rsidR="00ED5FC4" w:rsidRPr="00ED5FC4" w:rsidRDefault="00ED5FC4" w:rsidP="00ED5FC4">
            <w:pPr>
              <w:spacing w:after="360" w:line="236" w:lineRule="atLeast"/>
              <w:textAlignment w:val="baseline"/>
              <w:rPr>
                <w:rFonts w:ascii="inherit" w:eastAsia="Times New Roman" w:hAnsi="inherit" w:cs="Arial"/>
                <w:color w:val="222222"/>
                <w:sz w:val="16"/>
                <w:szCs w:val="16"/>
              </w:rPr>
            </w:pPr>
            <w:r w:rsidRPr="00ED5FC4">
              <w:rPr>
                <w:rFonts w:ascii="inherit" w:eastAsia="Times New Roman" w:hAnsi="inherit" w:cs="Arial"/>
                <w:color w:val="222222"/>
                <w:sz w:val="16"/>
                <w:szCs w:val="16"/>
              </w:rPr>
              <w:t>0</w:t>
            </w:r>
          </w:p>
        </w:tc>
      </w:tr>
    </w:tbl>
    <w:p w:rsidR="00ED5FC4" w:rsidRPr="00ED5FC4" w:rsidRDefault="00ED5FC4" w:rsidP="00ED5FC4">
      <w:pPr>
        <w:spacing w:after="360" w:line="236" w:lineRule="atLeast"/>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Квартиры  сдаются без отделки с выполнением следующих работ:</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xml:space="preserve"> Полы - цементная стяжка, в соответствии с проектом, потолки – монолитная ж/б плита, стены и перегородки внутренние –  керамический кирпич,  оштукатуренные. Окна и балконные двери из </w:t>
      </w:r>
      <w:proofErr w:type="spellStart"/>
      <w:r w:rsidRPr="00ED5FC4">
        <w:rPr>
          <w:rFonts w:ascii="Arial" w:eastAsia="Times New Roman" w:hAnsi="Arial" w:cs="Arial"/>
          <w:color w:val="222222"/>
          <w:sz w:val="16"/>
          <w:szCs w:val="16"/>
        </w:rPr>
        <w:t>поливинил</w:t>
      </w:r>
      <w:proofErr w:type="spellEnd"/>
      <w:r w:rsidRPr="00ED5FC4">
        <w:rPr>
          <w:rFonts w:ascii="Arial" w:eastAsia="Times New Roman" w:hAnsi="Arial" w:cs="Arial"/>
          <w:color w:val="222222"/>
          <w:sz w:val="16"/>
          <w:szCs w:val="16"/>
        </w:rPr>
        <w:t xml:space="preserve"> - хлоридных профилей индивидуального изготовления с подоконниками и наружными водоотливами. Остекление – однокамерное стеклопакеты, балконы – остекление с наружными водоотливами. Входная дверь – индивидуальная металлическая. Водопровод и канализация – без установки сантехнических приборов, с установкой счетчика на холодную воду. Отопление – двухконтурные газовые котлы с закрытой камерой сгорания. Электромонтажные работы – скрытая электропроводка, выполняются с установкой розеток, выключателей, электросчетчика, без установки светильников. Ввод в квартиру кабеля  радио, телевидения (без установки розетки), телефона - без установки приборов. Внутренние межкомнатные двери проектом не предусмотрены.</w:t>
      </w:r>
    </w:p>
    <w:p w:rsidR="00ED5FC4" w:rsidRPr="00ED5FC4" w:rsidRDefault="00ED5FC4" w:rsidP="00ED5FC4">
      <w:pPr>
        <w:numPr>
          <w:ilvl w:val="0"/>
          <w:numId w:val="2"/>
        </w:numPr>
        <w:spacing w:after="0" w:line="236" w:lineRule="atLeast"/>
        <w:ind w:left="0" w:right="360"/>
        <w:textAlignment w:val="baseline"/>
        <w:rPr>
          <w:rFonts w:ascii="inherit" w:eastAsia="Times New Roman" w:hAnsi="inherit" w:cs="Arial"/>
          <w:color w:val="222222"/>
          <w:sz w:val="16"/>
          <w:szCs w:val="16"/>
        </w:rPr>
      </w:pPr>
      <w:r w:rsidRPr="00ED5FC4">
        <w:rPr>
          <w:rFonts w:ascii="inherit" w:eastAsia="Times New Roman" w:hAnsi="inherit" w:cs="Arial"/>
          <w:b/>
          <w:bCs/>
          <w:color w:val="222222"/>
          <w:sz w:val="16"/>
        </w:rPr>
        <w:t>Автостоянка на территории:</w:t>
      </w:r>
    </w:p>
    <w:p w:rsidR="00ED5FC4" w:rsidRPr="00ED5FC4" w:rsidRDefault="00ED5FC4" w:rsidP="00ED5FC4">
      <w:pPr>
        <w:spacing w:after="360" w:line="236" w:lineRule="atLeast"/>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Общее число стояночных мест на автостоянке – 21 место</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6. Информация о составе имущества в многоквартирном доме: </w:t>
      </w:r>
      <w:r w:rsidRPr="00ED5FC4">
        <w:rPr>
          <w:rFonts w:ascii="Arial" w:eastAsia="Times New Roman" w:hAnsi="Arial" w:cs="Arial"/>
          <w:color w:val="222222"/>
          <w:sz w:val="16"/>
          <w:szCs w:val="16"/>
        </w:rPr>
        <w:t>В соответствии со ст. 36 ЖК РФ от 24 декабря 2004 года № 188-ФЗ,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 подвалы, в которых имеются инженерные коммуникации, иное обслуживающее более одного помещения в данном доме оборудование (технический этаж),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данного дома объекты, расположенные на указанном земельном участке.</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7. Предполагаемый срок получения разрешения на ввод объекта в эксплуатацию:</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 xml:space="preserve">Сведения о предполагаемом сроке получения разрешения на ввод в эксплуатацию строящегося многоквартирного дома   - IV квартал 2015 года. Комитет архитектуры и строительства администрации  </w:t>
      </w:r>
      <w:proofErr w:type="spellStart"/>
      <w:r w:rsidRPr="00ED5FC4">
        <w:rPr>
          <w:rFonts w:ascii="Arial" w:eastAsia="Times New Roman" w:hAnsi="Arial" w:cs="Arial"/>
          <w:color w:val="222222"/>
          <w:sz w:val="16"/>
          <w:szCs w:val="16"/>
        </w:rPr>
        <w:t>Гурьевского</w:t>
      </w:r>
      <w:proofErr w:type="spellEnd"/>
      <w:r w:rsidRPr="00ED5FC4">
        <w:rPr>
          <w:rFonts w:ascii="Arial" w:eastAsia="Times New Roman" w:hAnsi="Arial" w:cs="Arial"/>
          <w:color w:val="222222"/>
          <w:sz w:val="16"/>
          <w:szCs w:val="16"/>
        </w:rPr>
        <w:t xml:space="preserve"> муниципального района - является органом, уполномоченным в соответствии с законодательством о градостроительной деятельности на выдачу разрешения на ввод в эксплуатацию многоквартирного дома.</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lastRenderedPageBreak/>
        <w:t>                    8. Возможные финансовые и прочие риски при осуществлении проекта строительства и меры по добровольному страхованию застройщиком таких рисков: </w:t>
      </w:r>
      <w:r w:rsidRPr="00ED5FC4">
        <w:rPr>
          <w:rFonts w:ascii="Arial" w:eastAsia="Times New Roman" w:hAnsi="Arial" w:cs="Arial"/>
          <w:color w:val="222222"/>
          <w:sz w:val="16"/>
          <w:szCs w:val="16"/>
        </w:rPr>
        <w:t>По мнению застройщика, подобные риски отсутствуют. Страхование на момент публикации проектной декларации не осуществлялось.</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9. Планируемая стоимость строительства (создания) многоквартирного дома:</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210 962 400 рублей.</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br/>
      </w:r>
      <w:r w:rsidRPr="00ED5FC4">
        <w:rPr>
          <w:rFonts w:ascii="Arial" w:eastAsia="Times New Roman" w:hAnsi="Arial" w:cs="Arial"/>
          <w:b/>
          <w:bCs/>
          <w:color w:val="222222"/>
          <w:sz w:val="16"/>
        </w:rPr>
        <w:t>                 10. Перечень организаций, осуществляющих основные строительно-монтажные и другие работы (подрядчиков): </w:t>
      </w:r>
      <w:r w:rsidRPr="00ED5FC4">
        <w:rPr>
          <w:rFonts w:ascii="Arial" w:eastAsia="Times New Roman" w:hAnsi="Arial" w:cs="Arial"/>
          <w:color w:val="222222"/>
          <w:sz w:val="16"/>
          <w:szCs w:val="16"/>
        </w:rPr>
        <w:t>ООО «ТИС-строй», ООО «Негосударственная экспертиза», ЗАО «</w:t>
      </w:r>
      <w:proofErr w:type="spellStart"/>
      <w:r w:rsidRPr="00ED5FC4">
        <w:rPr>
          <w:rFonts w:ascii="Arial" w:eastAsia="Times New Roman" w:hAnsi="Arial" w:cs="Arial"/>
          <w:color w:val="222222"/>
          <w:sz w:val="16"/>
          <w:szCs w:val="16"/>
        </w:rPr>
        <w:t>Стройкомплект-Окно</w:t>
      </w:r>
      <w:proofErr w:type="spellEnd"/>
      <w:r w:rsidRPr="00ED5FC4">
        <w:rPr>
          <w:rFonts w:ascii="Arial" w:eastAsia="Times New Roman" w:hAnsi="Arial" w:cs="Arial"/>
          <w:color w:val="222222"/>
          <w:sz w:val="16"/>
          <w:szCs w:val="16"/>
        </w:rPr>
        <w:t>», ООО «ВИЯ-А»,  ООО «</w:t>
      </w:r>
      <w:proofErr w:type="spellStart"/>
      <w:r w:rsidRPr="00ED5FC4">
        <w:rPr>
          <w:rFonts w:ascii="Arial" w:eastAsia="Times New Roman" w:hAnsi="Arial" w:cs="Arial"/>
          <w:color w:val="222222"/>
          <w:sz w:val="16"/>
          <w:szCs w:val="16"/>
        </w:rPr>
        <w:t>Форпост-Балтики</w:t>
      </w:r>
      <w:proofErr w:type="spellEnd"/>
      <w:r w:rsidRPr="00ED5FC4">
        <w:rPr>
          <w:rFonts w:ascii="Arial" w:eastAsia="Times New Roman" w:hAnsi="Arial" w:cs="Arial"/>
          <w:color w:val="222222"/>
          <w:sz w:val="16"/>
          <w:szCs w:val="16"/>
        </w:rPr>
        <w:t>», ООО «Геоид», ООО «</w:t>
      </w:r>
      <w:proofErr w:type="spellStart"/>
      <w:r w:rsidRPr="00ED5FC4">
        <w:rPr>
          <w:rFonts w:ascii="Arial" w:eastAsia="Times New Roman" w:hAnsi="Arial" w:cs="Arial"/>
          <w:color w:val="222222"/>
          <w:sz w:val="16"/>
          <w:szCs w:val="16"/>
        </w:rPr>
        <w:t>АльфаПрофПроект</w:t>
      </w:r>
      <w:proofErr w:type="spellEnd"/>
      <w:r w:rsidRPr="00ED5FC4">
        <w:rPr>
          <w:rFonts w:ascii="Arial" w:eastAsia="Times New Roman" w:hAnsi="Arial" w:cs="Arial"/>
          <w:color w:val="222222"/>
          <w:sz w:val="16"/>
          <w:szCs w:val="16"/>
        </w:rPr>
        <w:t>», ООО «Энергосеть».</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11. Способ обеспечения исполнения обязательств застройщика по договору:</w:t>
      </w:r>
      <w:r w:rsidRPr="00ED5FC4">
        <w:rPr>
          <w:rFonts w:ascii="Arial" w:eastAsia="Times New Roman" w:hAnsi="Arial" w:cs="Arial"/>
          <w:color w:val="222222"/>
          <w:sz w:val="16"/>
          <w:szCs w:val="16"/>
        </w:rPr>
        <w:br/>
        <w:t>Залог права аренды земельного участка и строящегося на этом земельном участке многоквартирного дома в порядке, предусмотренном статьей 13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b/>
          <w:bCs/>
          <w:color w:val="222222"/>
          <w:sz w:val="16"/>
        </w:rPr>
        <w:t>                12.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r w:rsidRPr="00ED5FC4">
        <w:rPr>
          <w:rFonts w:ascii="Arial" w:eastAsia="Times New Roman" w:hAnsi="Arial" w:cs="Arial"/>
          <w:color w:val="222222"/>
          <w:sz w:val="16"/>
        </w:rPr>
        <w:t> </w:t>
      </w:r>
      <w:r w:rsidRPr="00ED5FC4">
        <w:rPr>
          <w:rFonts w:ascii="Arial" w:eastAsia="Times New Roman" w:hAnsi="Arial" w:cs="Arial"/>
          <w:color w:val="222222"/>
          <w:sz w:val="16"/>
          <w:szCs w:val="16"/>
        </w:rPr>
        <w:t>Нет.</w:t>
      </w:r>
    </w:p>
    <w:p w:rsidR="00ED5FC4" w:rsidRPr="00ED5FC4" w:rsidRDefault="00ED5FC4" w:rsidP="00ED5FC4">
      <w:pPr>
        <w:spacing w:after="360" w:line="236" w:lineRule="atLeast"/>
        <w:ind w:firstLine="480"/>
        <w:textAlignment w:val="baseline"/>
        <w:rPr>
          <w:rFonts w:ascii="Arial" w:eastAsia="Times New Roman" w:hAnsi="Arial" w:cs="Arial"/>
          <w:color w:val="222222"/>
          <w:sz w:val="16"/>
          <w:szCs w:val="16"/>
        </w:rPr>
      </w:pPr>
      <w:r w:rsidRPr="00ED5FC4">
        <w:rPr>
          <w:rFonts w:ascii="Arial" w:eastAsia="Times New Roman" w:hAnsi="Arial" w:cs="Arial"/>
          <w:color w:val="222222"/>
          <w:sz w:val="16"/>
          <w:szCs w:val="16"/>
        </w:rPr>
        <w:t> </w:t>
      </w:r>
    </w:p>
    <w:p w:rsidR="007924F9" w:rsidRDefault="007924F9"/>
    <w:sectPr w:rsidR="0079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63C"/>
    <w:multiLevelType w:val="multilevel"/>
    <w:tmpl w:val="296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965BCC"/>
    <w:multiLevelType w:val="multilevel"/>
    <w:tmpl w:val="DD9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useFELayout/>
  </w:compat>
  <w:rsids>
    <w:rsidRoot w:val="00ED5FC4"/>
    <w:rsid w:val="007924F9"/>
    <w:rsid w:val="00ED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F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5FC4"/>
    <w:rPr>
      <w:b/>
      <w:bCs/>
    </w:rPr>
  </w:style>
  <w:style w:type="character" w:customStyle="1" w:styleId="apple-converted-space">
    <w:name w:val="apple-converted-space"/>
    <w:basedOn w:val="a0"/>
    <w:rsid w:val="00ED5FC4"/>
  </w:style>
</w:styles>
</file>

<file path=word/webSettings.xml><?xml version="1.0" encoding="utf-8"?>
<w:webSettings xmlns:r="http://schemas.openxmlformats.org/officeDocument/2006/relationships" xmlns:w="http://schemas.openxmlformats.org/wordprocessingml/2006/main">
  <w:divs>
    <w:div w:id="5786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2016-06-13T09:21:00Z</dcterms:created>
  <dcterms:modified xsi:type="dcterms:W3CDTF">2016-06-13T09:21:00Z</dcterms:modified>
</cp:coreProperties>
</file>