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BA" w:rsidRDefault="00F516BA" w:rsidP="00F516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Проектная декларация</w:t>
      </w:r>
    </w:p>
    <w:p w:rsidR="00F516BA" w:rsidRDefault="00F516BA" w:rsidP="00F516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Строительство многоквартирных жилых домов, расположенных по адресу:</w:t>
      </w:r>
    </w:p>
    <w:p w:rsidR="00F516BA" w:rsidRDefault="00F516BA" w:rsidP="00F516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Калининградская область, город Калининград, улица Чаадаева, дом 1</w:t>
      </w:r>
    </w:p>
    <w:p w:rsidR="00F516BA" w:rsidRDefault="00F516BA" w:rsidP="00F516B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Опубликовано: 27 ноября 2014 года на сайте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Fonts w:ascii="Arial" w:hAnsi="Arial" w:cs="Arial"/>
          <w:b/>
          <w:bCs/>
          <w:color w:val="333333"/>
          <w:sz w:val="14"/>
          <w:szCs w:val="14"/>
        </w:rPr>
        <w:t>stkbalt.ru</w:t>
      </w:r>
    </w:p>
    <w:p w:rsidR="00F516BA" w:rsidRDefault="00F516BA" w:rsidP="00F516BA">
      <w:pPr>
        <w:pStyle w:val="a3"/>
        <w:spacing w:before="150" w:beforeAutospacing="0" w:after="15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1.Информация о Застройщике.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Фирменное название: Общество с ограниченной ответственностью «СТК-Балт»;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Местонахождение – юридический адрес: 236010, г. Калининград, улица Красносельская, 60 А;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Почтовый адрес, телефон, факс: 236010, город Калининград, улица Красносельская, 60 А, тел/факс (8-4012) 21-36-69, (8-4012) 33-36-35, +7-906-239-47-36.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Режим работы: понедельник-пятница с 9-00 до 18-00, суббота, воскресенье – выходной.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Директор – Столяр Александр Витальевич.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2. Сведения об учредителях: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Гражданин России Столяр Александр Витальевич   -  57 % голосов.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Гражданин России Кашляков Николай Михайлович  -  43% голосов.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3.   Государственная регистрация: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Советская, 11 «Б», введен в эксплуатацию 28 ноября 2008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Пионерская, д. 2 «а», введен в эксплуатацию 30 сентября 2009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Пионерская, д. 4 «а», введен в эксплуатацию 30 октября 2009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Комсомольская, д. 58, введен в эксплуатацию 30 сентября 2010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Советская, 9 «Б», введен в эксплуатацию 14 сентября 2010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– г. Пионерский Калининградской области, ул. Рабочая, 6, введен в эксплуатацию 30 сентября 2011 г.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два жилых дома — г. Пионерский Калининградской области, ул. Набережная 2 А и 2 Б, введены в эксплуатацию 16 декабря 2011 г.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— г. Пионерская, ул. Комсомольская, д. 56, введен в эксплуатацию  18 сентября 2012 года.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— г. Пионерский, ул. Парковая, д. 4, введен в эксплуатацию 30 ноября 2012 г.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— г. Пионерский, ул. Комсомольская, д. 11, введен в эксплуатацию 30 июня 2014 г.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Жилой дом — г. Пионерский, ул. Комсомольская, д. 60, введен в эксплуатацию 30 июня 2014 г.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Подробную информацию смотрите в разделе «ПРОЕКТЫ» сайта </w:t>
      </w:r>
      <w:hyperlink r:id="rId4" w:history="1">
        <w:r>
          <w:rPr>
            <w:rStyle w:val="a5"/>
            <w:rFonts w:ascii="Arial" w:hAnsi="Arial" w:cs="Arial"/>
            <w:color w:val="C62328"/>
            <w:sz w:val="14"/>
            <w:szCs w:val="14"/>
          </w:rPr>
          <w:t>WWW.STKBALT.RU</w:t>
        </w:r>
      </w:hyperlink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5. Лицензия: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Данный вид деятельности не подлежит лицензированию.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6.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Финансовый результат текущего года: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Не распределенная прибыль на 01.10.14 г. –   80 078  тыс. рублей.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Размер кредиторской задолженности на 27.11.2014 г. –   12 769 тыс. рублей.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·        Размер дебиторской задолженности на 27.11.2014 г. –   119 734 тыс. рублей, в том числе участники долевого строительства — 92 379 тыс. руб..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7.  Информация о проекте строительства: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Наименование объекта: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Многоквартирный жилой дом с отдельно стоящими автостоянками боксового типа.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Адрес объекта: Калининградская область, городской округ «Город Калининград», улица Чаадаева, дом 1.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Цель проекта строительства: строительство (создание) многоквартирного жилого дома с целью передачи в собственность Участникам долевого строительства.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Срок строительства: Начало строительства 27 ноября 2014 года. Окончание строительства в срок до 30 марта 2016 года.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Результат государственной экспертизы проектной документации: Положительное заключение государственной экспертизы №4-1-1-0095-14 от 14.10.2014 года выдано Центром проектных экспертиз.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lastRenderedPageBreak/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Разрешение на строительство: Разрешение на строительство №RU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39315000-290/2014 от 27.11.2014 г. выдано  Администрацией городского округа «Город Калининград» Комитет архитектуры и строительства.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· 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Права Застройщика на земельный участок: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Договор №010144 на передачу в аренду городских земель от 14.09.2009г., зарегистрированный в Управлении Федеральной регистрационной службы по Калининградской области (номер регистрации: 39-39-01/236/2009-733, дата регистрации 20.10.2009 г.).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№010144-1-УА от 31.12.2009 г. об уступке прав и обязанностей по Договору №010144 от 14.09.2009 г. на передачу в аренду городских земель, зарегистрированное в Управлении Федеральной регистрационной службы по Калининградской области 15.03.2010 г.;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№010144-2-УА от 17.07.2012 г. об изменении и дополнении Договора №010144 от 14.09.2009 г., зарегистрированное в Управлении Федеральной службы государственной регистрации, кадастра и картографии по Калининградской области 31.07.2012 г.;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№010144-2 от 27.05.2013 г. об изменении и дополнении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06.09.2013г.,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№010144-3 от 21.08.2013 г. об изменении и дополнении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06.09.2013г.,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№010144-4/УА от 24.09.2013 г. об уступке прав и обязанностей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13.11.2013г.,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Соглашение №010144-5 от 04.08.2014 г. об изменении и дополнении Договора №010144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12.09.2014г.,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-      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Собственник земельного участка Администрация городского округа «Город Калининград»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8.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Планируемый срок получения разрешения на ввод объекта в эксплуатацию до 30 марта 2016 года. Выдается Администрацией городского округа «город Калининград», Комитетом архитектуры и строительства.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 9.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Отдел разрешительных документов комитета архитектуры и градостроительства администрации городского округа «город Калининград»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10. Генпроектировщик: 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ООО «КалининградПромСтройПроект», г. Калининград, свидетельство о допуске № П-2.0100/06 от 08.08.2012 г..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11.  Местоположение и описание строящегося объекта недвижимости, в соответствии с проектной  документацией, на основании которой  выдано разрешение на строительство: Местоположение объекта: участок размещен между ул. Чаадаева и ул. Суворова в г. Калининграде Объект расположен на земельном участке площадью 0,2200 га, имеющем кадастровый номер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39:15:150506:21.</w:t>
      </w:r>
      <w:r>
        <w:rPr>
          <w:rFonts w:ascii="Arial" w:hAnsi="Arial" w:cs="Arial"/>
          <w:color w:val="333333"/>
          <w:sz w:val="14"/>
          <w:szCs w:val="14"/>
        </w:rPr>
        <w:br/>
        <w:t>Территория строительства многоквартирного жилого дома ограничена: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с севера – ул. Чаадаева;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с юга –  ул. Суворова;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с запада – переул. Нансена;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- с востока – территория, свободная от застройки.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На отведенном участке существуют инженерные коммуникации. Проектом предусматривается благоустройство территории: детская площадка, площадок для отдыха взрослого населения, хозяйственная площадка. Подъезд автотранспорта к жилым домам запроектирован с ул. Чаадаева.  Предусматривается возможность пожарного проезда. Предусмотрено озеленение территории.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12. Основные показатели застройки: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Жилой дом. представляет собой трехподъездное 5-ти этажное кирпичное здание. Высота жилых этажей здания — 3,000 м (высота помещений от пола до потолка — 2,80 м).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Наружные ограждающие конструкции здания — из кирпича и керамоблоков толщиной 380 мм с утеплением снаружи.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Крыша здания — скатная по стропильной системе с покрытием кровли металлочерепицей.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В каждом подъезде располагаются по 3 квартиры на этаже: две однокомнатные и одна двухкомнатная. Все квартиры имеют балконы. Квартиры мансардного этажа оборудованы мансардными окнами, две однокомнатные квартиры имеют балконы..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В каждой квартире предусмотрены: коридор-прихожая или холл, раздельный санузел в двухкомнатной квартире, совмещенный санузел в однокомнатной квартире, спальни, гостиные, кухни.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Функциональная связь  между этажами осуществляется по двухмаршевым эвакуационным лестницам, размещенным  в лестничных клетках.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Двери входные в здание.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Двери входные квартир.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Фундаменты —  свайные  с монолитным  ж/б раствором.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Стены наружные и внутренние подвала  — из бетонных блоков.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Стены наружные и внутренние жилых этажей — силикатный кирпич, керамические блоки.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Перегородки — силикатный кирпич, керамические блоки, красный полнотелый кирпич.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Перекрытия — сборные ж/б панели.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Лестницы — железобетонные.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Перекрытия над мансардным этажом по деревянным балкам с утеплением.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Крыша над мансардными помещениями — стропильная с холодным чердаком и кровлей из метеллочерепицы с наружным организованным водостоком по водосточным трубам и желобам.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Кровля — скатная из металлочерепицы.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Окна — однокамерные металлопластиковые стеклопакеты, двухкамерные стеклопакеты (тройное остекление) со стороны ул. Суворова.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Система электроснабжения: категория надежности электроснабжения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III. Технические условия ОАО «Янтарьэнерго» №122/11 от 07.02.2011 г.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Водоснабжение объекта:  предусмотрено от существующего водопровода диаметром 400 мм, проходящего по ул. Нансена. Дом оборудуются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кухне. Для учета расхода воды предусматривается установка счетчиков холодной воды в каждой квартире.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Система водоотведения: сброс сточных вод осуществляется в существующую сеть канализации, проходящую по ул.Нансена.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lastRenderedPageBreak/>
        <w:t>Теплоснабжение запроектировано поквартирное от индивидуальных отопительных автоматизированных настенных двухконтурных котлов с закрытой камерой сгорания производительностью 24 кВт, устанавливаемых на кухне.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Система газоснабжения: проект на газоснабжение жилого дома разработан на основании технических условий №311-М/П от 03.10.2013 г ОАО «Калининградгазификация». Источник газоснабжения – существующий подземный газопровод низкого давления, проложенный по ул. Суворова.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Жилой дом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представляет собой пятиуровневое здание. На первом-пятом этажах  - однокомнатные и двухкомнатные квартиры.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Проектом предусмотрены следующие виды связи: телефонизация, кабельное телевидение. 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Отдельно стоящие автостоянки боксового типа размерами 5,38*31,85 м. Высота от пола до потолка 2,47 м.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13. Технико-экономические показатели по жилому дому: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Площадь участка:     0,2200 га 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Количество зданий:  1 жилой дом  и 1 здание автостоянки.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Жилой дом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Количество этажей: 6 этажей.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Количество квартир: 45 шт.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в том числе однокомнатных 30 шт.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                    двухкомнатных 15 шт.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Общая площадь здания: 2885,55 кв.м.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строительный объем, в том числе: 12 014,00 куб.м.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                             ниже отм. 0,000: 1 567,00 куб.м.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Общая площадь квартир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(с учетом площади лоджий с понижающим коэффициентом):  2323,01 кв.м.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Общая площадь квартир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(без учета площади лоджий): 2 280,78 кв.м.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Автостоянка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количество боксов — 2 шт.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Общая площадь здания: 36,62 кв.м.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Строительный объем: 90,45 куб.м.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color w:val="333333"/>
          <w:sz w:val="14"/>
          <w:szCs w:val="14"/>
        </w:rPr>
        <w:t>14.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</w:t>
      </w:r>
      <w:r>
        <w:rPr>
          <w:rFonts w:ascii="Arial" w:hAnsi="Arial" w:cs="Arial"/>
          <w:color w:val="333333"/>
          <w:sz w:val="14"/>
          <w:szCs w:val="14"/>
        </w:rPr>
        <w:t>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земельный участок, на котором расположен жилой дом, автостоянка и элементы благоустройства и озеленения.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15.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Сведения о возможных финансовых и прочих рисках при  осуществлении проекта строительства и мерах по добровольному страхованию застройщиком таких рисков: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Style w:val="a4"/>
          <w:rFonts w:ascii="Arial" w:hAnsi="Arial" w:cs="Arial"/>
          <w:color w:val="333333"/>
          <w:sz w:val="14"/>
          <w:szCs w:val="14"/>
        </w:rPr>
        <w:t>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Залог  земельного участка, предоставленного под строительство и принадлежащий Застройщику на праве аренды.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Объект долевого строительства, расположенный по адресу: Калининградская область, город Калининград, улица Чаадаева, дом 1, подлежит обязательному страхованию  гражданской ответственности застройщика за неисполнение или ненадлежащее исполнение обязательств по передаче многоквартирного дома).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16. Планируемая стоимость строительства объекта недвижимости: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74 694 760 руб.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17. Перечень организаций, осуществляющих основные строительно-монтажные работы (подрядчиков):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Генподрядчик -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ООО «СТК-БалтСтрой»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Директор – Палло Александр Освальдович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№812 от 25 апреля  2012.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Юридический адрес: 236010, г. Калининград, ул. Красносельская, д. 60-а.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Почтовый адрес: 236010, г. Калининград, ул. Красносельская, д. 60-а.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18. Способ обеспечения исполнения обязательств застройщика по договору:</w:t>
      </w:r>
      <w:r>
        <w:rPr>
          <w:rStyle w:val="apple-converted-space"/>
          <w:rFonts w:ascii="Arial" w:hAnsi="Arial" w:cs="Arial"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залог в силу закона.</w:t>
      </w:r>
    </w:p>
    <w:p w:rsidR="00F516BA" w:rsidRDefault="00F516BA" w:rsidP="00F516BA">
      <w:pPr>
        <w:pStyle w:val="a3"/>
        <w:spacing w:before="150" w:beforeAutospacing="0" w:after="15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19. Сведения об иных договорах, на основании которых привлекаются денежные средства: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</w:rPr>
        <w:t> </w:t>
      </w:r>
      <w:r>
        <w:rPr>
          <w:rFonts w:ascii="Arial" w:hAnsi="Arial" w:cs="Arial"/>
          <w:color w:val="333333"/>
          <w:sz w:val="14"/>
          <w:szCs w:val="14"/>
        </w:rPr>
        <w:t> нет.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t>       </w:t>
      </w:r>
    </w:p>
    <w:p w:rsidR="00F516BA" w:rsidRDefault="00F516BA" w:rsidP="00F516BA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4"/>
          <w:szCs w:val="14"/>
        </w:rPr>
      </w:pPr>
      <w:r>
        <w:rPr>
          <w:rStyle w:val="a4"/>
          <w:rFonts w:ascii="Arial" w:hAnsi="Arial" w:cs="Arial"/>
          <w:color w:val="333333"/>
          <w:sz w:val="14"/>
          <w:szCs w:val="14"/>
        </w:rPr>
        <w:lastRenderedPageBreak/>
        <w:t>Директор ООО «СТК-Балт»____________________________А.В. Столяр</w:t>
      </w:r>
    </w:p>
    <w:p w:rsidR="006A7CB0" w:rsidRDefault="00F516BA"/>
    <w:sectPr w:rsidR="006A7CB0" w:rsidSect="003F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516BA"/>
    <w:rsid w:val="003F6BFE"/>
    <w:rsid w:val="0084387C"/>
    <w:rsid w:val="00F17ACA"/>
    <w:rsid w:val="00F5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6BA"/>
  </w:style>
  <w:style w:type="character" w:styleId="a4">
    <w:name w:val="Strong"/>
    <w:basedOn w:val="a0"/>
    <w:uiPriority w:val="22"/>
    <w:qFormat/>
    <w:rsid w:val="00F516BA"/>
    <w:rPr>
      <w:b/>
      <w:bCs/>
    </w:rPr>
  </w:style>
  <w:style w:type="character" w:styleId="a5">
    <w:name w:val="Hyperlink"/>
    <w:basedOn w:val="a0"/>
    <w:uiPriority w:val="99"/>
    <w:semiHidden/>
    <w:unhideWhenUsed/>
    <w:rsid w:val="00F51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kb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2016-06-27T10:20:00Z</dcterms:created>
  <dcterms:modified xsi:type="dcterms:W3CDTF">2016-06-27T10:20:00Z</dcterms:modified>
</cp:coreProperties>
</file>