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2A" w:rsidRDefault="0071012A" w:rsidP="0071012A">
      <w:pPr>
        <w:pStyle w:val="a3"/>
        <w:shd w:val="clear" w:color="auto" w:fill="D6D6D6"/>
        <w:spacing w:line="451" w:lineRule="atLeast"/>
        <w:jc w:val="center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ПРОЕКТНАЯ ДЕКЛАРАЦИЯ</w:t>
      </w:r>
      <w:r>
        <w:rPr>
          <w:rFonts w:ascii="Arial" w:hAnsi="Arial" w:cs="Arial"/>
          <w:color w:val="000000"/>
          <w:sz w:val="30"/>
          <w:szCs w:val="30"/>
        </w:rPr>
        <w:br/>
        <w:t>по объекту: «Группа жилых домов с подземной автостоянкой в Правобережном АО</w:t>
      </w:r>
      <w:r>
        <w:rPr>
          <w:rFonts w:ascii="Arial" w:hAnsi="Arial" w:cs="Arial"/>
          <w:color w:val="000000"/>
          <w:sz w:val="30"/>
          <w:szCs w:val="30"/>
        </w:rPr>
        <w:br/>
        <w:t xml:space="preserve">г. Иркутска в границах ул.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Вагина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 Киренская, Котовского»</w:t>
      </w:r>
      <w:r>
        <w:rPr>
          <w:rFonts w:ascii="Arial" w:hAnsi="Arial" w:cs="Arial"/>
          <w:color w:val="000000"/>
          <w:sz w:val="30"/>
          <w:szCs w:val="30"/>
        </w:rPr>
        <w:br/>
        <w:t>г. Иркутск « 28 » марта 2016г.</w:t>
      </w:r>
      <w:r>
        <w:rPr>
          <w:rFonts w:ascii="Arial" w:hAnsi="Arial" w:cs="Arial"/>
          <w:color w:val="000000"/>
          <w:sz w:val="30"/>
          <w:szCs w:val="30"/>
        </w:rPr>
        <w:br/>
        <w:t>Опубликовано на сайте www.igrs38.ru</w:t>
      </w:r>
    </w:p>
    <w:p w:rsidR="006A7CB0" w:rsidRPr="004710B5" w:rsidRDefault="0071012A" w:rsidP="004710B5">
      <w:pPr>
        <w:pStyle w:val="a3"/>
        <w:shd w:val="clear" w:color="auto" w:fill="D6D6D6"/>
        <w:spacing w:line="451" w:lineRule="atLeast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1. Информация о застройщике</w:t>
      </w:r>
      <w:r>
        <w:rPr>
          <w:rFonts w:ascii="Arial" w:hAnsi="Arial" w:cs="Arial"/>
          <w:color w:val="000000"/>
          <w:sz w:val="30"/>
          <w:szCs w:val="30"/>
        </w:rPr>
        <w:br/>
        <w:t>Фирменное наименование (полное): Закрытое акционерное общество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ИркутскГорРемСтрой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</w:t>
      </w:r>
      <w:r>
        <w:rPr>
          <w:rFonts w:ascii="Arial" w:hAnsi="Arial" w:cs="Arial"/>
          <w:color w:val="000000"/>
          <w:sz w:val="30"/>
          <w:szCs w:val="30"/>
        </w:rPr>
        <w:br/>
        <w:t xml:space="preserve">Сокращенное: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ЗАО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ИркутскГорРемСтрой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</w:t>
      </w:r>
      <w:r>
        <w:rPr>
          <w:rFonts w:ascii="Arial" w:hAnsi="Arial" w:cs="Arial"/>
          <w:color w:val="000000"/>
          <w:sz w:val="30"/>
          <w:szCs w:val="30"/>
        </w:rPr>
        <w:br/>
        <w:t xml:space="preserve">Директор –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Куцев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Василий Иванович</w:t>
      </w:r>
      <w:r>
        <w:rPr>
          <w:rFonts w:ascii="Arial" w:hAnsi="Arial" w:cs="Arial"/>
          <w:color w:val="000000"/>
          <w:sz w:val="30"/>
          <w:szCs w:val="30"/>
        </w:rPr>
        <w:br/>
        <w:t xml:space="preserve">Место нахождения — Юридический адрес: 664001 Иркутская область, г. Иркутск, ул. Петрова, д. 17,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оф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 4.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Фактический адрес: 664050 Иркутская область,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г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. Иркутск, ул. Байкальская, д. 295/2,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оф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 2.</w:t>
      </w:r>
      <w:r>
        <w:rPr>
          <w:rFonts w:ascii="Arial" w:hAnsi="Arial" w:cs="Arial"/>
          <w:color w:val="000000"/>
          <w:sz w:val="30"/>
          <w:szCs w:val="30"/>
        </w:rPr>
        <w:br/>
        <w:t>Тел. (3952) 703 – 822, факс (3952) 703 – 820.</w:t>
      </w:r>
      <w:r>
        <w:rPr>
          <w:rFonts w:ascii="Arial" w:hAnsi="Arial" w:cs="Arial"/>
          <w:color w:val="000000"/>
          <w:sz w:val="30"/>
          <w:szCs w:val="30"/>
        </w:rPr>
        <w:br/>
        <w:t>Режим работы: с 8.00 до 17.00, обед с 13.00 до 14.00, выходные суббота, воскресенье.</w:t>
      </w:r>
      <w:r>
        <w:rPr>
          <w:rFonts w:ascii="Arial" w:hAnsi="Arial" w:cs="Arial"/>
          <w:color w:val="000000"/>
          <w:sz w:val="30"/>
          <w:szCs w:val="30"/>
        </w:rPr>
        <w:br/>
        <w:t>Сведения о государственной регистрации</w:t>
      </w:r>
      <w:r>
        <w:rPr>
          <w:rFonts w:ascii="Arial" w:hAnsi="Arial" w:cs="Arial"/>
          <w:color w:val="000000"/>
          <w:sz w:val="30"/>
          <w:szCs w:val="30"/>
        </w:rPr>
        <w:br/>
      </w:r>
      <w:proofErr w:type="gramStart"/>
      <w:r>
        <w:rPr>
          <w:rFonts w:ascii="Arial" w:hAnsi="Arial" w:cs="Arial"/>
          <w:color w:val="000000"/>
          <w:sz w:val="30"/>
          <w:szCs w:val="30"/>
        </w:rPr>
        <w:t>Свидетельство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о внесении записи в Единый государственный реестр юридических лиц – серия 38 № 003338968 от 11 ноября 2011г., ОГРН 1113850051072, ИНН 3849018733</w:t>
      </w:r>
      <w:r>
        <w:rPr>
          <w:rFonts w:ascii="Arial" w:hAnsi="Arial" w:cs="Arial"/>
          <w:color w:val="000000"/>
          <w:sz w:val="30"/>
          <w:szCs w:val="30"/>
        </w:rPr>
        <w:br/>
        <w:t>Сведения об учредителях</w:t>
      </w:r>
      <w:r>
        <w:rPr>
          <w:rFonts w:ascii="Arial" w:hAnsi="Arial" w:cs="Arial"/>
          <w:color w:val="000000"/>
          <w:sz w:val="30"/>
          <w:szCs w:val="30"/>
        </w:rPr>
        <w:br/>
        <w:t xml:space="preserve">Учредитель: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Куцев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Василий Иванович – доля в капитале 100%</w:t>
      </w:r>
      <w:r>
        <w:rPr>
          <w:rFonts w:ascii="Arial" w:hAnsi="Arial" w:cs="Arial"/>
          <w:color w:val="000000"/>
          <w:sz w:val="30"/>
          <w:szCs w:val="30"/>
        </w:rPr>
        <w:br/>
        <w:t>Сведения о виде лицензируемой деятельности</w:t>
      </w:r>
      <w:r>
        <w:rPr>
          <w:rFonts w:ascii="Arial" w:hAnsi="Arial" w:cs="Arial"/>
          <w:color w:val="000000"/>
          <w:sz w:val="30"/>
          <w:szCs w:val="30"/>
        </w:rPr>
        <w:br/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от 20.01.2012г. Регистрационный номер свидетельства: № 0256.01-2012-3849018733-С-221. Выдавший орган: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Саморегулируемая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организация Некоммерческое партнерство по содействию и развитию </w:t>
      </w:r>
      <w:r>
        <w:rPr>
          <w:rFonts w:ascii="Arial" w:hAnsi="Arial" w:cs="Arial"/>
          <w:color w:val="000000"/>
          <w:sz w:val="30"/>
          <w:szCs w:val="30"/>
        </w:rPr>
        <w:lastRenderedPageBreak/>
        <w:t>строительной деятельности «Содружество Строителей».</w:t>
      </w:r>
      <w:r>
        <w:rPr>
          <w:rFonts w:ascii="Arial" w:hAnsi="Arial" w:cs="Arial"/>
          <w:color w:val="000000"/>
          <w:sz w:val="30"/>
          <w:szCs w:val="30"/>
        </w:rPr>
        <w:br/>
        <w:t>Срок действия свидетельства: без ограничения срока.</w:t>
      </w:r>
      <w:r>
        <w:rPr>
          <w:rFonts w:ascii="Arial" w:hAnsi="Arial" w:cs="Arial"/>
          <w:color w:val="000000"/>
          <w:sz w:val="30"/>
          <w:szCs w:val="30"/>
        </w:rPr>
        <w:br/>
        <w:t>Сведения о проектах строительства</w:t>
      </w:r>
      <w:r>
        <w:rPr>
          <w:rFonts w:ascii="Arial" w:hAnsi="Arial" w:cs="Arial"/>
          <w:color w:val="000000"/>
          <w:sz w:val="30"/>
          <w:szCs w:val="30"/>
        </w:rPr>
        <w:br/>
      </w:r>
      <w:proofErr w:type="gramStart"/>
      <w:r>
        <w:rPr>
          <w:rFonts w:ascii="Arial" w:hAnsi="Arial" w:cs="Arial"/>
          <w:color w:val="000000"/>
          <w:sz w:val="30"/>
          <w:szCs w:val="30"/>
        </w:rPr>
        <w:t>Проекты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реализованные в качестве застройщика отсутствуют.</w:t>
      </w:r>
      <w:r>
        <w:rPr>
          <w:rFonts w:ascii="Arial" w:hAnsi="Arial" w:cs="Arial"/>
          <w:color w:val="000000"/>
          <w:sz w:val="30"/>
          <w:szCs w:val="30"/>
        </w:rPr>
        <w:br/>
        <w:t>В период с декабря 2012г. по настоящее время ЗАО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ИркутскГорРемСтрой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 принимало участие в строительстве и реконструкции следующих объектов: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sym w:font="Symbol" w:char="F02D"/>
      </w:r>
      <w:r>
        <w:rPr>
          <w:rFonts w:ascii="Arial" w:hAnsi="Arial" w:cs="Arial"/>
          <w:color w:val="000000"/>
          <w:sz w:val="30"/>
          <w:szCs w:val="30"/>
        </w:rPr>
        <w:t xml:space="preserve"> «Дом правосудия. Реконструкция здания Ленинского районного суда»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г</w:t>
      </w:r>
      <w:proofErr w:type="gramEnd"/>
      <w:r>
        <w:rPr>
          <w:rFonts w:ascii="Arial" w:hAnsi="Arial" w:cs="Arial"/>
          <w:color w:val="000000"/>
          <w:sz w:val="30"/>
          <w:szCs w:val="30"/>
        </w:rPr>
        <w:t>. Иркутск, ул. Байкальская, 291. Объект передан Заказчику для ввода в эксплуатацию в соответствии с государственным контрактом в декабре 2012г.;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sym w:font="Symbol" w:char="F02D"/>
      </w:r>
      <w:r>
        <w:rPr>
          <w:rFonts w:ascii="Arial" w:hAnsi="Arial" w:cs="Arial"/>
          <w:color w:val="000000"/>
          <w:sz w:val="30"/>
          <w:szCs w:val="30"/>
        </w:rPr>
        <w:t xml:space="preserve"> «Группа жилых домов с нежилыми помещениями». г. Иркутск, ул. Байкальская, 236</w:t>
      </w: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 Б</w:t>
      </w:r>
      <w:proofErr w:type="gramEnd"/>
      <w:r>
        <w:rPr>
          <w:rFonts w:ascii="Arial" w:hAnsi="Arial" w:cs="Arial"/>
          <w:color w:val="000000"/>
          <w:sz w:val="30"/>
          <w:szCs w:val="30"/>
        </w:rPr>
        <w:t>, б/с № 5 – 10. Ввод в эксплуатацию по проекту – июнь 2013г.</w:t>
      </w:r>
      <w:r>
        <w:rPr>
          <w:rFonts w:ascii="Arial" w:hAnsi="Arial" w:cs="Arial"/>
          <w:color w:val="000000"/>
          <w:sz w:val="30"/>
          <w:szCs w:val="30"/>
        </w:rPr>
        <w:br/>
        <w:t>Сведения о величине собственных денежных средств, финансовом результате согласно балансовому отчету предприятия:</w:t>
      </w:r>
      <w:r>
        <w:rPr>
          <w:rFonts w:ascii="Arial" w:hAnsi="Arial" w:cs="Arial"/>
          <w:color w:val="000000"/>
          <w:sz w:val="30"/>
          <w:szCs w:val="30"/>
        </w:rPr>
        <w:br/>
        <w:t>— финансовый результат деятельности (годовая отчетность за 2015 г.) – прибыль 95,40 тыс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.р</w:t>
      </w:r>
      <w:proofErr w:type="gramEnd"/>
      <w:r>
        <w:rPr>
          <w:rFonts w:ascii="Arial" w:hAnsi="Arial" w:cs="Arial"/>
          <w:color w:val="000000"/>
          <w:sz w:val="30"/>
          <w:szCs w:val="30"/>
        </w:rPr>
        <w:t>уб.</w:t>
      </w:r>
      <w:r>
        <w:rPr>
          <w:rFonts w:ascii="Arial" w:hAnsi="Arial" w:cs="Arial"/>
          <w:color w:val="000000"/>
          <w:sz w:val="30"/>
          <w:szCs w:val="30"/>
        </w:rPr>
        <w:br/>
        <w:t>— кредиторская задолженность (годовая отчетность за 2015 г.) составляет 11874,0 тыс.руб.</w:t>
      </w:r>
      <w:r>
        <w:rPr>
          <w:rFonts w:ascii="Arial" w:hAnsi="Arial" w:cs="Arial"/>
          <w:color w:val="000000"/>
          <w:sz w:val="30"/>
          <w:szCs w:val="30"/>
        </w:rPr>
        <w:br/>
        <w:t>— дебиторская задолженность (годовая отчетность за 2015 г.) составляет 74472,0 тыс.руб.</w:t>
      </w:r>
      <w:r>
        <w:rPr>
          <w:rFonts w:ascii="Arial" w:hAnsi="Arial" w:cs="Arial"/>
          <w:color w:val="000000"/>
          <w:sz w:val="30"/>
          <w:szCs w:val="30"/>
        </w:rPr>
        <w:br/>
        <w:t>2. Информация о проекте строительства</w:t>
      </w:r>
      <w:r>
        <w:rPr>
          <w:rFonts w:ascii="Arial" w:hAnsi="Arial" w:cs="Arial"/>
          <w:color w:val="000000"/>
          <w:sz w:val="30"/>
          <w:szCs w:val="30"/>
        </w:rPr>
        <w:br/>
        <w:t xml:space="preserve">Цель проекта: Целью проекта является строительство многоквартирного дома, состоящего из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трех б</w:t>
      </w:r>
      <w:proofErr w:type="gramEnd"/>
      <w:r>
        <w:rPr>
          <w:rFonts w:ascii="Arial" w:hAnsi="Arial" w:cs="Arial"/>
          <w:color w:val="000000"/>
          <w:sz w:val="30"/>
          <w:szCs w:val="30"/>
        </w:rPr>
        <w:t>/с 2, 3, 4, для предоставления возможности приобретения гражданам жилья, отвечающего современным требованиям рынка в плане планировок квартир, их стоимости, а также современным строительным нормам и требованиям</w:t>
      </w:r>
      <w:r>
        <w:rPr>
          <w:rFonts w:ascii="Arial" w:hAnsi="Arial" w:cs="Arial"/>
          <w:color w:val="000000"/>
          <w:sz w:val="30"/>
          <w:szCs w:val="30"/>
        </w:rPr>
        <w:br/>
        <w:t>Сроки реализации проекта:</w:t>
      </w:r>
      <w:r>
        <w:rPr>
          <w:rFonts w:ascii="Arial" w:hAnsi="Arial" w:cs="Arial"/>
          <w:color w:val="000000"/>
          <w:sz w:val="30"/>
          <w:szCs w:val="30"/>
        </w:rPr>
        <w:br/>
        <w:t>Начало строительства – май 2013г.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Ввод в эксплуатацию – ноябрь 2015г.</w:t>
      </w:r>
      <w:r>
        <w:rPr>
          <w:rFonts w:ascii="Arial" w:hAnsi="Arial" w:cs="Arial"/>
          <w:color w:val="000000"/>
          <w:sz w:val="30"/>
          <w:szCs w:val="30"/>
        </w:rPr>
        <w:br/>
        <w:t>Передача объекта дольщику – 31 декабря 2015г.</w:t>
      </w:r>
      <w:r>
        <w:rPr>
          <w:rFonts w:ascii="Arial" w:hAnsi="Arial" w:cs="Arial"/>
          <w:color w:val="000000"/>
          <w:sz w:val="30"/>
          <w:szCs w:val="30"/>
        </w:rPr>
        <w:br/>
        <w:t xml:space="preserve">Обязательства перед дольщиками выполнены в полном объеме: Разрешение на ввод в эксплуатацию – №38-ru3830300-74-2015 от 16.12.2015г., выдано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г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. Иркутска. Обязательства по договорам участия в долевом строительстве выполнены в полном объеме, квартиры и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машиноместа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переданы дольщикам по актам приема-передачи.</w:t>
      </w:r>
      <w:r>
        <w:rPr>
          <w:rFonts w:ascii="Arial" w:hAnsi="Arial" w:cs="Arial"/>
          <w:color w:val="000000"/>
          <w:sz w:val="30"/>
          <w:szCs w:val="30"/>
        </w:rPr>
        <w:br/>
        <w:t>Положительное заключение, выданное ООО «Сибирский центр строительной экспертизы», № 2-1-1-0007-13 от 15 мая 2013г.</w:t>
      </w:r>
      <w:r>
        <w:rPr>
          <w:rFonts w:ascii="Arial" w:hAnsi="Arial" w:cs="Arial"/>
          <w:color w:val="000000"/>
          <w:sz w:val="30"/>
          <w:szCs w:val="30"/>
        </w:rPr>
        <w:br/>
        <w:t xml:space="preserve">Разрешение на строительство: № RU38303000-78/13 от 23.05.2013г., выдано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г</w:t>
      </w:r>
      <w:proofErr w:type="gramEnd"/>
      <w:r>
        <w:rPr>
          <w:rFonts w:ascii="Arial" w:hAnsi="Arial" w:cs="Arial"/>
          <w:color w:val="000000"/>
          <w:sz w:val="30"/>
          <w:szCs w:val="30"/>
        </w:rPr>
        <w:t>. Иркутска, срок действия до 01.11.2015г.</w:t>
      </w:r>
      <w:r>
        <w:rPr>
          <w:rFonts w:ascii="Arial" w:hAnsi="Arial" w:cs="Arial"/>
          <w:color w:val="000000"/>
          <w:sz w:val="30"/>
          <w:szCs w:val="30"/>
        </w:rPr>
        <w:br/>
        <w:t xml:space="preserve">Сведения о правах застройщика на земельный участок: Договор субаренды земельного участка № 2 от 21.06.2012г., зарегистрированный в Едином государственном реестре прав № 38-38-01/168/2012-739 от 08.10.2012г. Правообладателем земельного участка является администрация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г</w:t>
      </w:r>
      <w:proofErr w:type="gramEnd"/>
      <w:r>
        <w:rPr>
          <w:rFonts w:ascii="Arial" w:hAnsi="Arial" w:cs="Arial"/>
          <w:color w:val="000000"/>
          <w:sz w:val="30"/>
          <w:szCs w:val="30"/>
        </w:rPr>
        <w:t>. Иркутска.</w:t>
      </w:r>
      <w:r>
        <w:rPr>
          <w:rFonts w:ascii="Arial" w:hAnsi="Arial" w:cs="Arial"/>
          <w:color w:val="000000"/>
          <w:sz w:val="30"/>
          <w:szCs w:val="30"/>
        </w:rPr>
        <w:br/>
        <w:t xml:space="preserve">Границы и площадь земельного участка: Земельный участок расположен по адресу: г. Иркутск, Правобережный АО, границы улиц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Вагина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 Киренская, Котовского, кадастровый номер земельного участка 38:36:000013:7032, общая площадь земельного участка 5 949 м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2</w:t>
      </w:r>
      <w:proofErr w:type="gramEnd"/>
      <w:r>
        <w:rPr>
          <w:rFonts w:ascii="Arial" w:hAnsi="Arial" w:cs="Arial"/>
          <w:color w:val="000000"/>
          <w:sz w:val="30"/>
          <w:szCs w:val="30"/>
        </w:rPr>
        <w:t>. Границы земельного участка определены в схеме планировочной организации земельного участка (ПЗУ) с элементами комплексного благоустройства.</w:t>
      </w:r>
      <w:r>
        <w:rPr>
          <w:rFonts w:ascii="Arial" w:hAnsi="Arial" w:cs="Arial"/>
          <w:color w:val="000000"/>
          <w:sz w:val="30"/>
          <w:szCs w:val="30"/>
        </w:rPr>
        <w:br/>
        <w:t xml:space="preserve">Местоположение строящегося объекта: Иркутская область,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г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. Иркутск, Правобережный АО, границы улиц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Вагина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 Киренская, Котовского.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Описание объекта: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Здания из монолитного железобетонного связевого каркаса с использованием многослойной конструкции стен из монолитного железобетона, утеплителя, лицевого кирпича, этажностью 8 и 18 этажей, из них жилых этажей 6 и 16, строящееся с учетом последних требований пожарной и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электробезопасности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 системой контроля и регулирования теплоснабжения.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Строительство выполняется по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индивидуальному проекту</w:t>
      </w:r>
      <w:proofErr w:type="gramEnd"/>
      <w:r>
        <w:rPr>
          <w:rFonts w:ascii="Arial" w:hAnsi="Arial" w:cs="Arial"/>
          <w:color w:val="000000"/>
          <w:sz w:val="30"/>
          <w:szCs w:val="30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  <w:t xml:space="preserve">Техническая характеристика объекта: Конструктивная схема пространственная перекрестная система внутренних и наружных монолитных стен, расположенных в продольном и поперечном направлении, объединенная плоскими монолитными перекрытиями. Фундаменты свайные с промежуточной подушкой, с устройством по верху монолитного железобетонного ростверка. Перекрытия монолитные железобетонные сплошного сечения. Наружные стены – многослойная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конструкция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состоящая из монолитного железобетона, утеплителя – плиты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экструдированного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пенополистерола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облицовки – лицевой кирпич. Крыша здания плоская, совмещённая, с внутренним водостоком, с утеплителем из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экструдированного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пенополистирола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кровлей из синтетических наплавляемых материалов.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Блок-секции</w:t>
      </w:r>
      <w:proofErr w:type="spellEnd"/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оборудованы системой водоснабжения, электроснабжения, системой отопления, естественной вентиляции, лифтами, мусоропроводом.</w:t>
      </w:r>
      <w:r>
        <w:rPr>
          <w:rFonts w:ascii="Arial" w:hAnsi="Arial" w:cs="Arial"/>
          <w:color w:val="000000"/>
          <w:sz w:val="30"/>
          <w:szCs w:val="30"/>
        </w:rPr>
        <w:br/>
        <w:t>Сведения о количестве в составе строящегося объекта самостоятельных частей, передаваемых участникам долевого строительства:</w:t>
      </w:r>
      <w:r>
        <w:rPr>
          <w:rFonts w:ascii="Arial" w:hAnsi="Arial" w:cs="Arial"/>
          <w:color w:val="000000"/>
          <w:sz w:val="30"/>
          <w:szCs w:val="30"/>
        </w:rPr>
        <w:br/>
        <w:t>Общая площадь зданий: 14975,60 м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2</w:t>
      </w:r>
      <w:proofErr w:type="gramEnd"/>
      <w:r>
        <w:rPr>
          <w:rFonts w:ascii="Arial" w:hAnsi="Arial" w:cs="Arial"/>
          <w:color w:val="000000"/>
          <w:sz w:val="30"/>
          <w:szCs w:val="30"/>
        </w:rPr>
        <w:t>, в том числе площадь квартир – 11400,46 м2.</w:t>
      </w:r>
      <w:r>
        <w:rPr>
          <w:rFonts w:ascii="Arial" w:hAnsi="Arial" w:cs="Arial"/>
          <w:color w:val="000000"/>
          <w:sz w:val="30"/>
          <w:szCs w:val="30"/>
        </w:rPr>
        <w:br/>
        <w:t>Количество квартир – 205 шт., из них:</w:t>
      </w:r>
      <w:r>
        <w:rPr>
          <w:rFonts w:ascii="Arial" w:hAnsi="Arial" w:cs="Arial"/>
          <w:color w:val="000000"/>
          <w:sz w:val="30"/>
          <w:szCs w:val="30"/>
        </w:rPr>
        <w:br/>
        <w:t>Б/с № 2 – общее количество квартир 96 (5032,92 м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2</w:t>
      </w:r>
      <w:proofErr w:type="gramEnd"/>
      <w:r>
        <w:rPr>
          <w:rFonts w:ascii="Arial" w:hAnsi="Arial" w:cs="Arial"/>
          <w:color w:val="000000"/>
          <w:sz w:val="30"/>
          <w:szCs w:val="30"/>
        </w:rPr>
        <w:t>), в том числе:</w:t>
      </w:r>
      <w:r>
        <w:rPr>
          <w:rFonts w:ascii="Arial" w:hAnsi="Arial" w:cs="Arial"/>
          <w:color w:val="000000"/>
          <w:sz w:val="30"/>
          <w:szCs w:val="30"/>
        </w:rPr>
        <w:br/>
        <w:t>1-но комнатных – 64 (2711,93 м2)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2-х комнатных – 16 (949,29 м2)</w:t>
      </w:r>
      <w:r>
        <w:rPr>
          <w:rFonts w:ascii="Arial" w:hAnsi="Arial" w:cs="Arial"/>
          <w:color w:val="000000"/>
          <w:sz w:val="30"/>
          <w:szCs w:val="30"/>
        </w:rPr>
        <w:br/>
        <w:t>3-х комнатных – 16 (1370,63 м2)</w:t>
      </w:r>
      <w:r>
        <w:rPr>
          <w:rFonts w:ascii="Arial" w:hAnsi="Arial" w:cs="Arial"/>
          <w:color w:val="000000"/>
          <w:sz w:val="30"/>
          <w:szCs w:val="30"/>
        </w:rPr>
        <w:br/>
        <w:t>Б/с № 3 – общее количество квартир 29 (1437,46 м2), в том числе:</w:t>
      </w:r>
      <w:r>
        <w:rPr>
          <w:rFonts w:ascii="Arial" w:hAnsi="Arial" w:cs="Arial"/>
          <w:color w:val="000000"/>
          <w:sz w:val="30"/>
          <w:szCs w:val="30"/>
        </w:rPr>
        <w:br/>
        <w:t>1-но комнатных – 16 (698,18 м2)</w:t>
      </w:r>
      <w:r>
        <w:rPr>
          <w:rFonts w:ascii="Arial" w:hAnsi="Arial" w:cs="Arial"/>
          <w:color w:val="000000"/>
          <w:sz w:val="30"/>
          <w:szCs w:val="30"/>
        </w:rPr>
        <w:br/>
        <w:t>2-х комнатных – 13 (739,28 м2)</w:t>
      </w:r>
      <w:r>
        <w:rPr>
          <w:rFonts w:ascii="Arial" w:hAnsi="Arial" w:cs="Arial"/>
          <w:color w:val="000000"/>
          <w:sz w:val="30"/>
          <w:szCs w:val="30"/>
        </w:rPr>
        <w:br/>
        <w:t>Б/с № 4 – общее количество квартир 80 (4930,08 м2), в том числе:</w:t>
      </w:r>
      <w:r>
        <w:rPr>
          <w:rFonts w:ascii="Arial" w:hAnsi="Arial" w:cs="Arial"/>
          <w:color w:val="000000"/>
          <w:sz w:val="30"/>
          <w:szCs w:val="30"/>
        </w:rPr>
        <w:br/>
        <w:t>1-но комнатных – 32 (1624,43 м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2</w:t>
      </w:r>
      <w:proofErr w:type="gramEnd"/>
      <w:r>
        <w:rPr>
          <w:rFonts w:ascii="Arial" w:hAnsi="Arial" w:cs="Arial"/>
          <w:color w:val="000000"/>
          <w:sz w:val="30"/>
          <w:szCs w:val="30"/>
        </w:rPr>
        <w:t>)</w:t>
      </w:r>
      <w:r>
        <w:rPr>
          <w:rFonts w:ascii="Arial" w:hAnsi="Arial" w:cs="Arial"/>
          <w:color w:val="000000"/>
          <w:sz w:val="30"/>
          <w:szCs w:val="30"/>
        </w:rPr>
        <w:br/>
        <w:t>2-х комнатных – 32 (1939,01 м2)</w:t>
      </w:r>
      <w:r>
        <w:rPr>
          <w:rFonts w:ascii="Arial" w:hAnsi="Arial" w:cs="Arial"/>
          <w:color w:val="000000"/>
          <w:sz w:val="30"/>
          <w:szCs w:val="30"/>
        </w:rPr>
        <w:br/>
        <w:t>3-х комнатных – 16 (1366,77 м2)</w:t>
      </w:r>
      <w:r>
        <w:rPr>
          <w:rFonts w:ascii="Arial" w:hAnsi="Arial" w:cs="Arial"/>
          <w:color w:val="000000"/>
          <w:sz w:val="30"/>
          <w:szCs w:val="30"/>
        </w:rPr>
        <w:br/>
        <w:t xml:space="preserve">Подземная автостоянка – 3154,97 м2. Общее количество и общая площадь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машиномест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– 84 и 1503 м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2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. Средняя площадь одного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машиноместа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– 18 м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2</w:t>
      </w:r>
      <w:proofErr w:type="gramEnd"/>
      <w:r>
        <w:rPr>
          <w:rFonts w:ascii="Arial" w:hAnsi="Arial" w:cs="Arial"/>
          <w:color w:val="000000"/>
          <w:sz w:val="30"/>
          <w:szCs w:val="30"/>
        </w:rPr>
        <w:t>.</w:t>
      </w:r>
      <w:r>
        <w:rPr>
          <w:rFonts w:ascii="Arial" w:hAnsi="Arial" w:cs="Arial"/>
          <w:color w:val="000000"/>
          <w:sz w:val="30"/>
          <w:szCs w:val="30"/>
        </w:rPr>
        <w:br/>
        <w:t xml:space="preserve">Состав имущества, которое будет находиться в общей долевой собственности участников строительства, после ввода объекта в эксплуатацию: Площадь лестничных проемов, лестничных клеток, инженерные сооружения, коммуникации, иное оборудование и имущество, обслуживающее имущество более чем одного собственника, принадлежат в соответствии со ст.290 ГК РФ участникам долевого строительства на праве общей долевой собственности, пропорционально занимаемым ими площадям.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Общедолевое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имущество жилого дома: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Крыши, крыльца, лестницы, лифтовые холлы, вспомогательные (технические) площади, обеспечивающие эксплуатацию здания – тепловых узлов, водомерных узлов, машинные помещения лифтов, мусороприемная камера; Внутридомовые системы и оборудование, обеспечивающие эксплуатацию здания: системы отопления, водопровода и канализации, электроосвещения, сети связи и телекоммуникаций, лифты, насосная станция, мусоропровод и прочее;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Внеплощадочные и внутриплощадочные инженерные сети и инженерные объекты (трансформаторные подстанции и пр.), обеспечивающие устойчивую эксплуатацию зданий: теплоснабжение, электроснабжение, водоснабжение, </w:t>
      </w:r>
      <w:r>
        <w:rPr>
          <w:rFonts w:ascii="Arial" w:hAnsi="Arial" w:cs="Arial"/>
          <w:color w:val="000000"/>
          <w:sz w:val="30"/>
          <w:szCs w:val="30"/>
        </w:rPr>
        <w:lastRenderedPageBreak/>
        <w:t>канализация, наружное освещение, телефонизация; Земельный участок, на котором расположены строящиеся здания и сооружения, с элементами озеленения и благоустройства. Нежилые помещения в подвалах, не влияющие на обслуживание жилого дома, не входят в общее имущество жилого дома.</w:t>
      </w:r>
      <w:r>
        <w:rPr>
          <w:rFonts w:ascii="Arial" w:hAnsi="Arial" w:cs="Arial"/>
          <w:color w:val="000000"/>
          <w:sz w:val="30"/>
          <w:szCs w:val="30"/>
        </w:rPr>
        <w:br/>
        <w:t>Срок получения разрешения на ввод в эксплуатацию: 16.12.2015г.</w:t>
      </w:r>
      <w:r>
        <w:rPr>
          <w:rFonts w:ascii="Arial" w:hAnsi="Arial" w:cs="Arial"/>
          <w:color w:val="000000"/>
          <w:sz w:val="30"/>
          <w:szCs w:val="30"/>
        </w:rPr>
        <w:br/>
        <w:t xml:space="preserve">Разрешение на ввод объекта в эксплуатацию выдает Отдел выдачи разрешительной документации департамента реализации градостроительной политики комитета по градостроительной политике администрации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г</w:t>
      </w:r>
      <w:proofErr w:type="gramEnd"/>
      <w:r>
        <w:rPr>
          <w:rFonts w:ascii="Arial" w:hAnsi="Arial" w:cs="Arial"/>
          <w:color w:val="000000"/>
          <w:sz w:val="30"/>
          <w:szCs w:val="30"/>
        </w:rPr>
        <w:t>. Иркутска</w:t>
      </w:r>
      <w:r>
        <w:rPr>
          <w:rFonts w:ascii="Arial" w:hAnsi="Arial" w:cs="Arial"/>
          <w:color w:val="000000"/>
          <w:sz w:val="30"/>
          <w:szCs w:val="30"/>
        </w:rPr>
        <w:br/>
        <w:t xml:space="preserve">Возможные финансовые и прочие риски при осуществлении проекта строительства: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</w:t>
      </w:r>
      <w:proofErr w:type="gramEnd"/>
      <w:r>
        <w:rPr>
          <w:rFonts w:ascii="Arial" w:hAnsi="Arial" w:cs="Arial"/>
          <w:color w:val="000000"/>
          <w:sz w:val="30"/>
          <w:szCs w:val="30"/>
        </w:rPr>
        <w:br/>
        <w:t>Общая планируемая стоимость проекта строительства – 386 476,23 тыс. рублей;</w:t>
      </w:r>
      <w:r>
        <w:rPr>
          <w:rFonts w:ascii="Arial" w:hAnsi="Arial" w:cs="Arial"/>
          <w:color w:val="000000"/>
          <w:sz w:val="30"/>
          <w:szCs w:val="30"/>
        </w:rPr>
        <w:br/>
        <w:t xml:space="preserve">Строительство проекта осуществляется за счет кредитных средств ОАО «Сбербанк России».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Общая площадь кредитуемых банком жилых помещений – 8 978,07 кв.м., общая площадь кредитуемых банком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машиномест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– 1 503,6 кв.м.</w:t>
      </w:r>
      <w:r>
        <w:rPr>
          <w:rFonts w:ascii="Arial" w:hAnsi="Arial" w:cs="Arial"/>
          <w:color w:val="000000"/>
          <w:sz w:val="30"/>
          <w:szCs w:val="30"/>
        </w:rPr>
        <w:br/>
        <w:t>Структура финансирования проекта (по данным на 01.10.2013г.):</w:t>
      </w:r>
      <w:r>
        <w:rPr>
          <w:rFonts w:ascii="Arial" w:hAnsi="Arial" w:cs="Arial"/>
          <w:color w:val="000000"/>
          <w:sz w:val="30"/>
          <w:szCs w:val="30"/>
        </w:rPr>
        <w:br/>
        <w:t>Собственные средства – 98 257,24 тыс. руб.</w:t>
      </w:r>
      <w:r>
        <w:rPr>
          <w:rFonts w:ascii="Arial" w:hAnsi="Arial" w:cs="Arial"/>
          <w:color w:val="000000"/>
          <w:sz w:val="30"/>
          <w:szCs w:val="30"/>
        </w:rPr>
        <w:br/>
        <w:t>Средства дольщиков (сумма заключенных ДДУ) – 159 328 тыс. руб.</w:t>
      </w:r>
      <w:r>
        <w:rPr>
          <w:rFonts w:ascii="Arial" w:hAnsi="Arial" w:cs="Arial"/>
          <w:color w:val="000000"/>
          <w:sz w:val="30"/>
          <w:szCs w:val="30"/>
        </w:rPr>
        <w:br/>
        <w:t>Кредитные средства ОАО «Сбербанк России» (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невозобновляемая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кредитная линия) – лимит 199 000 тыс. руб.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Перечень организаций, осуществляющих специальные работы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по договорам подряда: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ООО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Техстрой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СК», ООО «Диалог-строй», ООО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СтройАктивМонтаж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», ООО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ИркутМонтажСтрой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», ООО «Новый элемент», ООО «Проба», ИП Карпенко ВА,  ООО «Мегаполис-Телеком», ООО «Ввысь».</w:t>
      </w:r>
      <w:proofErr w:type="gramEnd"/>
      <w:r>
        <w:rPr>
          <w:rFonts w:ascii="Arial" w:hAnsi="Arial" w:cs="Arial"/>
          <w:color w:val="000000"/>
          <w:sz w:val="30"/>
          <w:szCs w:val="30"/>
        </w:rPr>
        <w:br/>
        <w:t>Способ обеспечения исполнения обязательств – ипотека земельного участка (залог) участниками долевого строительства в порядке, предусмотренном статьями 13 – 15 № 214 – ФЗ от 30.12.2004г.</w:t>
      </w:r>
      <w:r>
        <w:rPr>
          <w:rFonts w:ascii="Arial" w:hAnsi="Arial" w:cs="Arial"/>
          <w:color w:val="000000"/>
          <w:sz w:val="30"/>
          <w:szCs w:val="30"/>
        </w:rPr>
        <w:br/>
        <w:t>Об иных договорах и сделках, на основании которых привлекаются денежные средства: На момент составления настоящей проектной декларации иные договора (сделки) для привлечения денежных сре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дств дл</w:t>
      </w:r>
      <w:proofErr w:type="gramEnd"/>
      <w:r>
        <w:rPr>
          <w:rFonts w:ascii="Arial" w:hAnsi="Arial" w:cs="Arial"/>
          <w:color w:val="000000"/>
          <w:sz w:val="30"/>
          <w:szCs w:val="30"/>
        </w:rPr>
        <w:t>я строительства не заключались.</w:t>
      </w:r>
      <w:r>
        <w:rPr>
          <w:rFonts w:ascii="Arial" w:hAnsi="Arial" w:cs="Arial"/>
          <w:color w:val="000000"/>
          <w:sz w:val="30"/>
          <w:szCs w:val="30"/>
        </w:rPr>
        <w:br/>
        <w:t>Директор ЗАО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ИркутскГорРемСтрой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» В.И.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Куцев</w:t>
      </w:r>
      <w:proofErr w:type="spellEnd"/>
    </w:p>
    <w:sectPr w:rsidR="006A7CB0" w:rsidRPr="004710B5" w:rsidSect="00DD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1012A"/>
    <w:rsid w:val="004710B5"/>
    <w:rsid w:val="0071012A"/>
    <w:rsid w:val="0084387C"/>
    <w:rsid w:val="00DD15D4"/>
    <w:rsid w:val="00F1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1516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Безотечество</dc:creator>
  <cp:keywords/>
  <dc:description/>
  <cp:lastModifiedBy>Вадим Безотечество</cp:lastModifiedBy>
  <cp:revision>3</cp:revision>
  <dcterms:created xsi:type="dcterms:W3CDTF">2016-06-06T03:33:00Z</dcterms:created>
  <dcterms:modified xsi:type="dcterms:W3CDTF">2016-06-06T03:34:00Z</dcterms:modified>
</cp:coreProperties>
</file>