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92" w:rsidRDefault="00F11192" w:rsidP="00F11192">
      <w:pPr>
        <w:pStyle w:val="a3"/>
        <w:spacing w:before="0" w:beforeAutospacing="0" w:after="360" w:afterAutospacing="0" w:line="236" w:lineRule="atLeas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           </w:t>
      </w:r>
      <w:r>
        <w:rPr>
          <w:rStyle w:val="a4"/>
          <w:rFonts w:ascii="Arial" w:hAnsi="Arial" w:cs="Arial"/>
          <w:color w:val="222222"/>
          <w:sz w:val="16"/>
          <w:szCs w:val="16"/>
        </w:rPr>
        <w:t>Изменение N10 в проектную декларацию от 21 мая 2014 г.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ООО "ДЕЛЬТА"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1-я очередь строительства 1-ой секции многоквартирного жилого дома по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адресу: Калининградская область, г. Гурьевск, ул. Ленина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Размещено на сайте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www.delta-kld.ru</w:t>
      </w:r>
      <w:proofErr w:type="spellEnd"/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«Утверждаю»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«21» октября 2015 года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Генеральный директор ООО "ДЕЛЬТА"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_________________________ В. А.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Меланьев</w:t>
      </w:r>
      <w:proofErr w:type="spellEnd"/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I. ИНФОРМАЦИЯ О ЗАСТРОЙЩИКЕ.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1. Фирменное наименование: Общество с ограниченной ответственностью "ДЕЛЬТА" (ООО "ДЕЛЬТА")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Юридический адрес: 236038, г. Калининград, ул. Орудийная, д. 14-2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Место нахождения: 236038, г. Калининград, ул. Невского д. 36-В</w:t>
      </w:r>
    </w:p>
    <w:p w:rsidR="00F11192" w:rsidRDefault="00F11192" w:rsidP="00F11192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Телефон: +7 4012 34 70 44, +7 906 2163081,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e-mail</w:t>
      </w:r>
      <w:proofErr w:type="spellEnd"/>
      <w:r>
        <w:rPr>
          <w:rFonts w:ascii="Arial" w:hAnsi="Arial" w:cs="Arial"/>
          <w:color w:val="222222"/>
          <w:sz w:val="16"/>
          <w:szCs w:val="16"/>
        </w:rPr>
        <w:t>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hyperlink r:id="rId4" w:history="1">
        <w:r>
          <w:rPr>
            <w:rStyle w:val="a5"/>
            <w:rFonts w:ascii="inherit" w:hAnsi="inherit" w:cs="Arial"/>
            <w:color w:val="0066CC"/>
            <w:sz w:val="16"/>
            <w:szCs w:val="16"/>
            <w:bdr w:val="none" w:sz="0" w:space="0" w:color="auto" w:frame="1"/>
          </w:rPr>
          <w:t>delta39@bk.ru</w:t>
        </w:r>
      </w:hyperlink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Этот адрес электронной почты защищен от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спам-ботов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У вас должен быть включен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JavaScript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для просмотра. 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Банковские реквизиты: ИНН 3906303641,ОГРН 1133926032635,КПП 390601001,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к/с 30101810500000000219,р/с 40702810900470203666, В Санкт-Петербургском филиале ОАО «Банка Москвы», БИК 044030799.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Режим работы застройщика: с 09-00 до 18-00, без обеда, ежедневно, кроме выходных: субботы, воскресенья и праздничных дней, установленных в соответствии с законодательством РФ.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Раздел II. ИНФОРМАЦИЯ О ПРОЕКТЕ СТРОИТЕЛЬСТВА.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Пункт</w:t>
      </w:r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</w:rPr>
        <w:t> </w:t>
      </w:r>
      <w:r>
        <w:rPr>
          <w:rStyle w:val="a4"/>
          <w:rFonts w:ascii="Arial" w:hAnsi="Arial" w:cs="Arial"/>
          <w:color w:val="222222"/>
          <w:sz w:val="16"/>
          <w:szCs w:val="16"/>
        </w:rPr>
        <w:t>1. Цель проекта: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Строительство девятиэтажного, в том числе подвал, двухсекционного 63-х квартирного жилого дома по адресу: Калининградская область, г. Гурьевск, ул. Ленина 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Этапы и срок реализации строительства:</w:t>
      </w:r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Начало строительства – май 2014 года, срок окончания строительства - декабрь 2015 года.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Пункт 2. Разрешение на строительство: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№  RU 39310000-600/2014 MO выдано: Администрацией 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Гурьевского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городского округа 18.08.2014г. Срок действия продлен до 23 мая  2016 года.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Пункт 4. Описание строящегося объекта.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lastRenderedPageBreak/>
        <w:t>Местоположение строящегося объекта: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город Гурьевск, ул. Ленина. Границами участка служат: с севера –заброшенный бункер, свободная от застройки территория; с юга - существующая автостоянка, ул. Ленина; с запада - нежилые  капитальные строения; с востока - нежилые капитальные строения.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Описание строящегося многоквартирного жилого дома, технические характеристики: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Площадь земельного участка – 0,154 га.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Количество этажей  - 9шт ( с мансардой)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в том числе подвал -1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шт</w:t>
      </w:r>
      <w:proofErr w:type="spellEnd"/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Количество секций - 2 шт.,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Arial" w:hAnsi="Arial" w:cs="Arial"/>
          <w:color w:val="222222"/>
          <w:sz w:val="16"/>
          <w:szCs w:val="16"/>
        </w:rPr>
        <w:t>Количетсво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квартир -63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шт</w:t>
      </w:r>
      <w:proofErr w:type="spellEnd"/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Общая площадь здания – 5342,80  кв. м.,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Строительный объем – 22999,24  куб. м.,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Общая площадь встроенных помещений 603,6 кв.м.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         Здание в плане Г-образной формы с размерами в осях 24,90*47,50 м. Высота подвала составляет 2,12 м (в чистоте), первого этажа - 3,90 м (в  чистоте - 3,59 м), высота второго - восьмого этажей - 3,00 м (в чистоте - 2,74 м).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На первом этаже запроектированы встроенные помещения административного назначения: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Style w:val="a4"/>
          <w:rFonts w:ascii="Arial" w:hAnsi="Arial" w:cs="Arial"/>
          <w:color w:val="222222"/>
          <w:sz w:val="16"/>
          <w:szCs w:val="16"/>
        </w:rPr>
        <w:t>5 (пять)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офисных блоков с изолированными входами.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В подвале располагаются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Style w:val="a4"/>
          <w:rFonts w:ascii="Arial" w:hAnsi="Arial" w:cs="Arial"/>
          <w:color w:val="222222"/>
          <w:sz w:val="16"/>
          <w:szCs w:val="16"/>
        </w:rPr>
        <w:t>43 (сорок три)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– вне квартирные хозяйственные кладовые и технические помещения для  жилой части здания - кладовая, уборочного инвентаря,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электрощитовая</w:t>
      </w:r>
      <w:proofErr w:type="spellEnd"/>
      <w:r>
        <w:rPr>
          <w:rFonts w:ascii="Arial" w:hAnsi="Arial" w:cs="Arial"/>
          <w:color w:val="222222"/>
          <w:sz w:val="16"/>
          <w:szCs w:val="16"/>
        </w:rPr>
        <w:t>, водомерный узел.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Каждая квартира имеет холл (прихожую), кухню, санузел, остекленную лоджию или балкон. Квартиры оснащены всеми видами инженерно-технического обеспечения: электроснабжением, водоснабжением и канализацией; для автономного теплоснабжения и горячего водоснабжения предусмотрены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двуконтурные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теплогенераторы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с закрытой камерой сгорания, работающие на природном газе: для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пищеприготовления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используются газовые плиты.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Вертикальные коммуникации в каждой секции представлены железобетонными лестницами и грузопассажирским лифтом грузоподъёмностью 1000 кг с размерами кабины 2100*1100 мм, предусматривающими возможность размещения носилок.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Нормативное естественное освещение помещений с постоянным пребыванием людей обеспечено при помощи окон, размеры которых определены расчетом.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Защита от потенциальных источников шума обеспечивается выбором материалов и толщин внутренних стен и перегородок, применением теплоизоляционных и звукоизоляционных слоев в конструкциях наружных стен и перекрытий, оконных блоков со звукоизолирующими свойствами, планировочными и конструктивными решениями по снижению шумового и вибрационного воздействия со  стороны лифтовых шахт.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Внешний вид здания формируется с помощью сложной скатной кровли, крытой керамической черепицей, фронтонов, выступающих за плоскость наружных стен объемов, объединяющих остекленные лоджии и эркеры, применения декоративной тонкослойной штукатурки в отделке фасадов.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lastRenderedPageBreak/>
        <w:t> </w:t>
      </w:r>
    </w:p>
    <w:p w:rsidR="00F11192" w:rsidRDefault="00F11192" w:rsidP="00F11192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inherit" w:hAnsi="inherit" w:cs="Arial"/>
          <w:color w:val="FF0000"/>
          <w:sz w:val="16"/>
          <w:szCs w:val="16"/>
          <w:bdr w:val="none" w:sz="0" w:space="0" w:color="auto" w:frame="1"/>
        </w:rPr>
        <w:t xml:space="preserve">Раздел II. ИНФОРМАЦИЯ О ПРОЕКТЕ СТРОИТЕЛЬСТВА. п. 1, </w:t>
      </w:r>
      <w:proofErr w:type="spellStart"/>
      <w:r>
        <w:rPr>
          <w:rStyle w:val="a4"/>
          <w:rFonts w:ascii="inherit" w:hAnsi="inherit" w:cs="Arial"/>
          <w:color w:val="FF0000"/>
          <w:sz w:val="16"/>
          <w:szCs w:val="16"/>
          <w:bdr w:val="none" w:sz="0" w:space="0" w:color="auto" w:frame="1"/>
        </w:rPr>
        <w:t>п</w:t>
      </w:r>
      <w:proofErr w:type="spellEnd"/>
      <w:r>
        <w:rPr>
          <w:rStyle w:val="a4"/>
          <w:rFonts w:ascii="inherit" w:hAnsi="inherit" w:cs="Arial"/>
          <w:color w:val="FF0000"/>
          <w:sz w:val="16"/>
          <w:szCs w:val="16"/>
          <w:bdr w:val="none" w:sz="0" w:space="0" w:color="auto" w:frame="1"/>
        </w:rPr>
        <w:t xml:space="preserve"> 2, </w:t>
      </w:r>
      <w:proofErr w:type="spellStart"/>
      <w:r>
        <w:rPr>
          <w:rStyle w:val="a4"/>
          <w:rFonts w:ascii="inherit" w:hAnsi="inherit" w:cs="Arial"/>
          <w:color w:val="FF0000"/>
          <w:sz w:val="16"/>
          <w:szCs w:val="16"/>
          <w:bdr w:val="none" w:sz="0" w:space="0" w:color="auto" w:frame="1"/>
        </w:rPr>
        <w:t>п</w:t>
      </w:r>
      <w:proofErr w:type="spellEnd"/>
      <w:r>
        <w:rPr>
          <w:rStyle w:val="a4"/>
          <w:rFonts w:ascii="inherit" w:hAnsi="inherit" w:cs="Arial"/>
          <w:color w:val="FF0000"/>
          <w:sz w:val="16"/>
          <w:szCs w:val="16"/>
          <w:bdr w:val="none" w:sz="0" w:space="0" w:color="auto" w:frame="1"/>
        </w:rPr>
        <w:t xml:space="preserve"> 4. -</w:t>
      </w:r>
      <w:r>
        <w:rPr>
          <w:rStyle w:val="apple-converted-space"/>
          <w:rFonts w:ascii="inherit" w:hAnsi="inherit" w:cs="Arial"/>
          <w:b/>
          <w:bCs/>
          <w:color w:val="FF0000"/>
          <w:sz w:val="16"/>
          <w:szCs w:val="16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FF0000"/>
          <w:sz w:val="16"/>
          <w:szCs w:val="16"/>
          <w:bdr w:val="none" w:sz="0" w:space="0" w:color="auto" w:frame="1"/>
        </w:rPr>
        <w:t>Следует читать в следующей редакции: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Раздел II. ИНФОРМАЦИЯ О ПРОЕКТЕ СТРОИТЕЛЬСТВА.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Пункт</w:t>
      </w:r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</w:rPr>
        <w:t> </w:t>
      </w:r>
      <w:r>
        <w:rPr>
          <w:rStyle w:val="a4"/>
          <w:rFonts w:ascii="Arial" w:hAnsi="Arial" w:cs="Arial"/>
          <w:color w:val="222222"/>
          <w:sz w:val="16"/>
          <w:szCs w:val="16"/>
        </w:rPr>
        <w:t>1. Цель проекта: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Строительство девятиэтажного, в том числе подвал, двухсекционного 63-х квартирного жилого дома по адресу: Калининградская область, г. Гурьевск, ул. Ленина 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Этапы и срок реализации строительства:</w:t>
      </w:r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Начало строительства – май 2014 года, срок окончания строительства - август 2016 года.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Пункт 2. Разрешение на строительство: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№  RU 39310000-600/2014 MO выдано: Администрацией 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Гурьевского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городского округа 18.08.2014г. Срок действия продлен до 23 мая  2016 года.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Пункт 4. Описание строящегося объекта.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Местоположение строящегося объекта: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город Гурьевск, ул. Ленина. Границами участка служат: с севера –заброшенный бункер, свободная от застройки территория; с юга - существующая автостоянка, ул. Ленина; с запада - нежилые  капитальные строения; с востока - нежилые капитальные строения.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Описание строящегося многоквартирного жилого дома, технические характеристики: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Площадь земельного участка – 0,154 га.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Количество этажей  - 9шт ( с мансардой)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в том числе подвал -1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шт</w:t>
      </w:r>
      <w:proofErr w:type="spellEnd"/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Количество секций - 2 шт.,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Arial" w:hAnsi="Arial" w:cs="Arial"/>
          <w:color w:val="222222"/>
          <w:sz w:val="16"/>
          <w:szCs w:val="16"/>
        </w:rPr>
        <w:t>Количетсво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квартир -63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шт</w:t>
      </w:r>
      <w:proofErr w:type="spellEnd"/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Общая площадь здания – 5342,80  кв. м.,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Строительный объем – 22999,24  куб. м.,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Общая площадь встроенных помещений 603,6 кв.м.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         Здание в плане Г-образной формы с размерами в осях 24,90*47,50 м. Высота подвала составляет 2,12 м (в чистоте), первого этажа - 3,90 м (в  чистоте - 3,59 м), высота второго - восьмого этажей - 3,00 м (в чистоте - 2,74 м).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На первом этаже запроектированы встроенные помещения административного назначения: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Style w:val="a4"/>
          <w:rFonts w:ascii="Arial" w:hAnsi="Arial" w:cs="Arial"/>
          <w:color w:val="222222"/>
          <w:sz w:val="16"/>
          <w:szCs w:val="16"/>
        </w:rPr>
        <w:t>5 (пять)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офисных блоков с изолированными входами.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В подвале располагаются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Style w:val="a4"/>
          <w:rFonts w:ascii="Arial" w:hAnsi="Arial" w:cs="Arial"/>
          <w:color w:val="222222"/>
          <w:sz w:val="16"/>
          <w:szCs w:val="16"/>
        </w:rPr>
        <w:t>43 (сорок три)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– вне квартирные хозяйственные кладовые и технические помещения для  жилой части здания - кладовая, уборочного инвентаря,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электрощитовая</w:t>
      </w:r>
      <w:proofErr w:type="spellEnd"/>
      <w:r>
        <w:rPr>
          <w:rFonts w:ascii="Arial" w:hAnsi="Arial" w:cs="Arial"/>
          <w:color w:val="222222"/>
          <w:sz w:val="16"/>
          <w:szCs w:val="16"/>
        </w:rPr>
        <w:t>, водомерный узел.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lastRenderedPageBreak/>
        <w:t xml:space="preserve">Каждая квартира имеет холл (прихожую), кухню, санузел, остекленную лоджию или балкон. Квартиры оснащены всеми видами инженерно-технического обеспечения: электроснабжением, водоснабжением и канализацией; для автономного теплоснабжения и горячего водоснабжения предусмотрены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двуконтурные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теплогенераторы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с закрытой камерой сгорания, работающие на природном газе: для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пищеприготовления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используются газовые плиты.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Вертикальные коммуникации в каждой секции представлены железобетонными лестницами и грузопассажирским лифтом грузоподъёмностью 1000 кг с размерами кабины 2100*1100 мм, предусматривающими возможность размещения носилок.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Нормативное естественное освещение помещений с постоянным пребыванием людей обеспечено при помощи окон, размеры которых определены расчетом.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Защита от потенциальных источников шума обеспечивается выбором материалов и толщин внутренних стен и перегородок, применением теплоизоляционных и звукоизоляционных слоев в конструкциях наружных стен и перекрытий, оконных блоков со звукоизолирующими свойствами, планировочными и конструктивными решениями по снижению шумового и вибрационного воздействия со  стороны лифтовых шахт.</w:t>
      </w:r>
    </w:p>
    <w:p w:rsidR="00F11192" w:rsidRDefault="00F11192" w:rsidP="00F11192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Внешний вид здания формируется с помощью сложной скатной кровли, крытой керамической черепицей, фронтонов, выступающих за плоскость наружных стен объемов, объединяющих остекленные лоджии и эркеры, применения декоративной тонкослойной штукатурки в отделке фасадов.</w:t>
      </w:r>
    </w:p>
    <w:p w:rsidR="007442BB" w:rsidRDefault="007442BB"/>
    <w:sectPr w:rsidR="0074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F11192"/>
    <w:rsid w:val="007442BB"/>
    <w:rsid w:val="00F1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1192"/>
  </w:style>
  <w:style w:type="character" w:styleId="a4">
    <w:name w:val="Strong"/>
    <w:basedOn w:val="a0"/>
    <w:uiPriority w:val="22"/>
    <w:qFormat/>
    <w:rsid w:val="00F11192"/>
    <w:rPr>
      <w:b/>
      <w:bCs/>
    </w:rPr>
  </w:style>
  <w:style w:type="character" w:styleId="a5">
    <w:name w:val="Hyperlink"/>
    <w:basedOn w:val="a0"/>
    <w:uiPriority w:val="99"/>
    <w:semiHidden/>
    <w:unhideWhenUsed/>
    <w:rsid w:val="00F11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ta3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2016-06-13T09:27:00Z</dcterms:created>
  <dcterms:modified xsi:type="dcterms:W3CDTF">2016-06-13T09:28:00Z</dcterms:modified>
</cp:coreProperties>
</file>