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39" w:rsidRPr="009F1939" w:rsidRDefault="009F1939" w:rsidP="009F1939">
      <w:pPr>
        <w:spacing w:before="200" w:after="25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F193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ПРОЕКТНАЯ ДЕКЛАРАЦИЯ от 25.02.2015 г.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Общество с ограниченной ответственностью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«Квартал Новый»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ОГРН 1123926073237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ИНН 3906281074 / КПП 390601001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Расчетный счет 40702810603700000555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Филиал Санкт-Петербургский ОАО «Открытие» г. Санкт-Петербург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БИК 044030720, к/с 30101810200000000720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офис: г. Калининград, ул. Яновская д.7, тел./факс 46-62-40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_____________________________________________________________________________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Исх.№ 1/д от 25.02.2015 г.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ПРОЕКТНАЯ ДЕКЛАРАЦИЯ на строительство в 2 этапа жилого комплекса (280 квартир) из четырёх многоквартирных жилых домов: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I этап строительства – дом № 1 по ГП- 56 квартир; дом № 4 по ГП – 112квартир;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II этап строительства – дом № 2 по ГП – 56 квартир; дом № 3 по ГП – 56 квартир,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по адресу: Калининградская область, Гурьевский район, пос. Малое Исаково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Информация о застройщике: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1. Фирменное наименование.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ООО «Квартал Новый»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2. Место нахождения.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Юридический адрес: 236016, г. Калининград, ул. Ю. Гагарина, 2 «к».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Почтовый адрес: 236016, г. Калининград, ул. Яновская,7.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3. Режим работы.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Ежедневно с 9 ч. 00 мин. до 18 ч. 00 мин. Обеденный перерыв: с 13 ч. 00 мин. до 14ч. 00 мин.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4. Государственная регистрация.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Свидетельство о государственной регистрации юридического лица 39 № 001525405 от 19 ноября 2012 г., выдано администрацией МИ ФНС №1 по Калининградской области, ОГРН 1123926073237.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5. Учредители.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Физические лица: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Давыдов Руслан Александрович – 40%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Якушов Роман Анатольевич – 40%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Дорошок Максим Юрьевич – 20%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Ранее ООО «Квартал Новый» не принимал участия в проектах строительства многоквартирных домов или иных объектов недвижимости.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Информация о виде деятельности: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ООО «Квартал Новый» осуществляет свою деятельность по реализации проекта строительства Многоквартирного жилого дома на основании Градостроительного Кодекса РФ и договоров с подрядными и субподрядными организациями. В соответствии с действующим законодательством с 20 февраля 2009 г. осуществление функций заказчика-застройщика (в случае, если работы, которые оказывают влияние на безопасность объектов капитального строительства, не выполняются лично, а привлекаются субподрядные организации) возможно без наличия лицензии, а также без вступления в саморегулируемую организацию и получения свидетельства о допуске.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выполнение функций заказчика-застройщика ООО «Квартал Новый» заключило договор с генподрядной организацией – ООО «Рекстрой» (ОГРН 1023900995348, ИНН 3906084559, 236016, г. Калининград, ул. Яновская,7), Свидетельство о допуске к определенному виду работ, которые оказывают влияние на безопасность объектов капитального строительства № 0166.03-2010-3906084559-С-040, выдано 31.05.2012 года Некоммерческим партнерством «Саморегулируемая организация «Строительный союз Калининградской области», 236006, г. Калининград, московский просп., д.95, офис 329, http://www.npssko.ru. Регистрационный номер в государственном реестре саморегулируемых организаций СРО-С-040-23092009.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Информация о финансовом результате текущего года: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На 31.12.2014 года: предприятие использует упрощённую систему налогообложения – 6%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Дебиторская задолженность – отсутствует;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Сумма кредиторской задолженности – 90 000 рублей;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Прибыль – отсутствует, убыток - отсутствует.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Информация о проекте строительства: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1. Цель проекта.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Строительство в два этапа жилого комплекса (280 квартир) из четырёх 8-ми этажных многоквартирных жилых домов на земельном участке площадью 10000 кв. м. с кадастровым номером 39:03:030216:185 по адресу: Калининградская область, Гурьевский район, в северо-западной части пос. Малое Исаково.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Этапы и сроки реализации.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I этап строительства - два многоквартирных жилых дома: дом № 1 по ГП – 56 квартир; дом № 4 по ГП – 112 квартир.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Многоквартирный жилой дом № 1 по ГП в п. Малое Исаково Гурьевского района Калининградской области.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застройки 580,3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Строительный объем здания 13342,0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11872,0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Общая площадь здания 3920,0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3447,7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подвальных помещений 376,2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жилых помещений с учетом балконов 2550,54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квартир за исключением лоджий, балконов 2482,22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секций 2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этажей 8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надземных 7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 56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• Многоквартирный жилой дом № 4 по ГП в п. Малое Исаково Гурьевского района Калининградской области.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застройки 1160,6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Строительный объем здания 26684,0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23744,0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Общая площадь здания 7840,0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6896,0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подвальных помещений 752,4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жилых помещений с учетом балконов 5101,08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квартир за исключением лоджий, балконов 4964,44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секций 4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этажей 8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надземных 7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 112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Срок передачи участникам долевого строительства – 24 ноября 2018 года.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Окончание строительно-монтажных работ –IV квартал 2016 года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Планируемый ввод в эксплуатацию – IV квартал 2016 года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II этап строительства - два многоквартирных жилых дома: дом № 2 по ГП – 56 квартир; дом № 3 по ГП – 56 квартир.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Многоквартирный жилой дом № 2 по ГП в п. Малое Исаково Гурьевского района Калининградской области.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застройки 580,3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Строительный объем здания 13342,0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11872,0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Общая площадь здания 3920,0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3447,7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подвальных помещений 376,2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жилых помещений с учетом балконов 2550,54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квартир за исключением лоджий, балконов 2482,22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секций 2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этажей 8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надземных 7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 56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• Многоквартирный жилой дом № 3 по ГП в п. Малое Исаково Гурьевского района Калининградской области.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застройки 580,3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Строительный объем здания 13342,0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11872,0 куб.м.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Общая площадь здания 3920,0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надземной части 3447,7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подвальных помещений 376,2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жилых помещений с учетом балконов 2550,54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Площадь квартир за исключением лоджий, балконов 2482,22 кв.м.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секций 2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этажей 8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т.ч. надземных 7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 56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Срок передачи участникам долевого строительства – 28 февраля 2019 года.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Окончание строительно-монтажных работ – IV квартал 2018 года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Планируемый ввод в эксплуатацию – IV квартал 2018 года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Информация о способе обеспечения исполнения обязательств застройщика по договорам долевого участия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Способом обеспечения исполнения обязательств застройщика по договорам долевого участия выбрано страхование гражданской ответственности застройщика за неисполнение или ненадлежащее исполнение обязательств по передаче помещения участникам долевого строительства в порядке, установленном статьей 15.2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30.12.2004г. №214-ФЗ.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Результаты экспертизы проектной документации.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Экспертное заключение негосударственной экспертизы № 4-1-1-0007-15 от 30 января 2015 г. по проектной документации и материалам инженерных изысканий на строительство многоквартирных жилых домов в северо-западной части пос. Малое Исаково Гурьевского района Калининградской области выдано ООО «Негосударственная экспертиза» (ОГРН 1123926069299, 236016, г. Калининград, ул. А. Невского, д.1 Б; Свидетельство об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 № РОСС RU.0001.610414, учетный номер бланка № 0000412, выдано Федеральной службой по аккредитации сроком с 04.07.2014 г. по 04.07.2019 года – на право проведения негосударственной экспертизы результатов инженерных изысканий; Свидетельство об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 № РОСС RU.0001.610018, учетный номер бланка № 0000092, выдано Федеральной службой по аккредитации сроком с 13.12.2012 г. по 13.12.2017 года – на право проведения негосударственной экспертизы проектной документации, согласно которым указанный результаты инженерных изысканий, выполненные для разработки проектной документации и все разделы проектной документации на объект капитального строительства: «Многоквартирные жилые дома в северо-западной части пос. малое Исаково Гурьевского района Калининградской области» соответствуют требованиям технических регламентов и нормативных документов.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Разрешение на строительство.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Разрешение на строительство № RU39310000-73/2015 МО от 24 февраля 2015 г. выдано администрацией Гурьевского городского округа на строительство в два этапа четырёх 8-ми этажных многоквартирных жилых домов на земельном участке площадью 10000 кв.м. на 280 квартир.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Права Застройщика на земельный участок.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Земельный участок площадью 10000 кв.м. по адресу: Калининградская область, Гурьевский район, в северо-западной части пос. Малое Исаково, с кадастровым номером 39:03:030216:185 принадлежит ООО «Квартал Новый» на праве собственности на основании Договора купли-продажи недвижимого имущества от 25.12.2012 года и Протокола внеочередного общего собрания участников ООО «Квартал Новый» от 07.04.2014 г. Право собственности зарегистрировано Управлением Федеральной службы государственной регистрации, кадастра и картографии по Калининградской области, запись регистрации сделана 26.05.2014 г. за номером 39-39-01/197/2014-889, что подтверждается свидетельством о регистрации права 39-АБ 363149, выданным 29.07.2014 года.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Элементы благоустройства.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На отведенной под благоустройство территории, запроектированы гостевые автостоянки и автостоянки временного хранения автомобилей, в т.ч. парковочные места для автомобилей инвалидов, площадка для отдыха детей и взрослых, многофункциональная спортивная площадка. Оборудование площадок предполагается выполнить переносными и стационарными установками, отвечающими санитарно-гигиеническим, безопасным, эстетическим и комфортным уровням.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свободной от застройки территории высаживается партерный газон из трав. Мусороудаление предусмотрено в мусоросборные контейнеры, размещаемые на хозяйственной площадке.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Вдоль зданий имеется непрерывный проезд для пожарных машин, свободный от элементов благоустройства и озеленения. Подъезд к кварталу жилых домов осуществляется с ул. Игоря Талькова.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Местоположение строящегося многоквартирного жилого комплекса.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Земельный участок, отведённый под застройку, ограничен: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с севра – территорией поселения Малого Исаково;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с востока – ул. Игоря Талькова;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с запада – улицей общегородского значения;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с юга – территорией поселения Малого Исаково.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Описание жилого комплекса.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I этап строительства – два многоквартирных жилых дома: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Дом № 1 по ГП – 56 квартир, 8-ми этажный, 2-х секционный с подвалом и встроенными нежилыми помещениями.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Разработаны две рядовые секции (№1 и №2). Размер здания в плане 14,39х39,2 м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Каждая из секций изолирована, имеет одну лестничную клетку и грузопассажирский лифт, соединяющий между собой 1-7 этажи. На всех этажах всех секций размещено по 4 квартиры. В каждой секции 7 надземных этажей. Высота здания 24 м.Высота этажа 3 м. Высота жилых помещений – 2,7 м. Высота подвальных помещений – 2,2 м. Высота межэтажных подсобных помещений – 2,6 м. Входы в подвал выполнены отдельно от входов в здание.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подвальном этаже здания располагаются подсобные подвальные помещения для нужд жильцов дома; в секции №1 расположены электрощитовая и насосная; в секции №2 расположено помещение для хранения уборочного инвентаря.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межэтажных лестничных клетках каждой секции за лифтовой шахтой расположены встроенные нежилые подсобные помещения для нужд жильцов дома.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Крыша здания плоская с внутренним водостоком.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Конструктивная схема здания – жесткая с продольными и поперечными несущими стенами, пространственная жесткость и геометрическая неизменяемость обеспечивается за счет совместной работы продольных и поперечных стен и жестких дисков перекрытий. Дополнительно пространственная жесткость здания обеспечивается за счет устройства анкерных связей между плитами перекрытий и стенами, укладки в углах здания и на пересечениях наружных и внутренних стен связующих сеток.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Фундаменты – ленточные из сборных ж/б подушек (бетон класса В30, W8). Стены подвала – из сборных бетонных блоков толщиной 300,400 и 500 мм. Монолитные заделки в стенах подвала выполняются из бетона В15 или полнотелым керамическим кирпичом М150. С целью равномерной передачи нагрузок от вышележащих конструкций зданий на фундаменты и повышения общей жесткости здания предусмотрен монолитный ж/б пояс толщиной 300 мм.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Стены наружные – из силикатного кирпича СУР 100/35 ГОСТ 379-95 на цементно-песчаном растворе М50 толщиной 510 мм. (первый этаж) и 380 мм (со второго по седьмой этаж) с наружным утеплением толщиной 100 мм. каменной ватой.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Стены внутренние – толщиной 380, 510 и 640 мм. из силикатного кирпича СУР 100/35 ГОСТ 379-95 на цементно-песчаном растворе М75.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Перегородки в квартирах – из силикатного кирпича СУР100/35 ГОСТ 379-95 на цементно-песчаном растворе М50 толщиной 120 мм.; в санузлах – из полнотелого керамического кирпича КУРПо 1,4НФ/150/2,0/15/ГОСТ 530-2007.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Межквартирные перегородки – толщиной 220 мм. трёхслойные из эффективного силикатного кирпича СУР 100/15 ГОСТ 379-95 на цементно-песчаном растворе М50 с каменной ватой «PAROC UNS 37» толщиной 40 мм.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Перекрытия - из сборных ж/б многопустотных плит марки ПК по серии 1.141-1 вып.60 и 63 с участками из монолитного ж/б. Утепление перекрытий выполнено теплоизоляционными плитами плотностью 180 и 120 кг/м3 и коэффициентом теплопередачи – 0,045 Вт/м2 оС.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Перемычки – сборные ж/б по серии 1.038.1-1 вып. 4.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Лестничный площадки - сборные ж/б по серии 1.152.1-8 вып. 1.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Лестничные марши - сборные ж/б по серии 1.151.1-7.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Крыша – плоская, совмещенная, водосток- организованный внутренний.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Кровля – из одного слоя кровельного рубероида марки Rubertoch APP “Polyester Green" и двух слоёв рубероида толщиной Rubertoch APP «Underlay».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Вентканалы – из силикатного полнотелого кирпича СУР150/35 ГОСТ 379-95 на цементно-песчаном растворе М75, выше плит перекрытия из полнотелого керамического кирпича КУРПо 1,4НФ/150/2,0/35/ГОСТ 530-2007 на глиняном или цементно-песчаном растворе М50. Утеплены выше отметки перекрытия каменной ватой «PAROC FAS 4».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Дымовые каналы – толщиной 640 и 770 мм. из керамического полнотелого кирпича КУРПо 1,4НФ/150/2,0/50/ГОСТ 530-2007 на цементно-песчаном растворе М75. Утеплены выше отметки перекрытия каменной ватой «PAROC FAS 4».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Двери- индивидуального изготовления, наружные- металлические, утеплённые, внутренние – деревянные.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Окна и витражи – пластиковые с многокамерным профилем, остеклением из двух стёкол индивидуального изготовления.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Наружная отделка здания – декоративная штукатурка по технологии «Теплоавангард».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помещениях квартир поверхности стен штукатурятся, поверхности потолков выравниваются под чистовую отделку. В помещениях входных тамбуров и лестничных клеток предусмотрены полы из керамической плитки с нескользящей поверхностью, окраска оштукатуренных стен акриловыми красками, создающими матовую поверхность, окраска подготовленного потолка водоэмульсионными красками.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Горячее водоснабжение и теплоснабжение предусмотрено от газовых котлов, устанавливаемых на кухне в каждой квартире;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качестве нагревательных приборов приняты панельные радиаторы «PURMO», в ванных комнатах – полотенцесушители.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Теплоснабжение квартир – от двухконтурных автоматизированных настенных газовых котлов. Отопление – поквартирное. В качестве нагревательных приборов приняты стальные панельные радиаторы со встроенными терморегуляторами и с нижней подводкой трубопроводов.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Вентиляция – в квартирах: приточно-вытяжная с естественным побуждением, вытяжка из санузлов икухонь осуществляется через отдельные вентканалы с воздушными затворами длиной более 2 м. Приток воздуха: через окна с поворотно-откидным открыванием и режимом микровентиляции, в кухнях дополнительно через приточные клапаны в наружных стенах верхней зоне. Вентиляция помещений подвала – вытяжная естественная через внутристенные каналы.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Электроснабжение – от городских сетей. Предусмотрен монтаж КТП – новая на границе земельного участка застройки. На лестничных площадках устанавливаются поэтажные щиты с автоматическими выключателями и поквартирными счетчиками электроэнергии. В квартирах устанавливаются квартирные щитки с автоматическими выключателями. Проектом предусматривается рабочее и аварийное освещение. Питание эвакуационного освещения выполнено независимо от питания рабочего освещения самостоятельными линиями.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Молниезащита – монтаж молниеприёмной сетки на кровле, присоединённой токоотводами к заземлителю молниезащиты.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Водоснабжение – от городского водопровода.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Водоотведение – наружные сети бытовой канализации подключаются к канализационной сети города; отвод дождевых и талых вод после очистки на очистных сооружениях решён в закрытую часть мелиоративной канавы; для защиты фундамента от воздействия грунтовых вод и предотвращения затопления подземных помещений предусмотрен пристенный дренаж по контуру жилого дома.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Газоснабжение предусмотрено от городского газопровода.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Мероприятия по обеспечению пожарной безопасности - применение негорючих строительных конструкций; ограничение пожарной нагрузки – площадь и этажность здания не превышает допустимой площади пожарного отсека, разделение подвала по секциям противопожарными перегородками 1-го типа с установкой в них противопожарных дверей 2-го типа, выделение секций жилого здания глухими противопожарными стенами 2-го типа, категорированием по пожарной опасности всех помещений Ф5, размещаемых в подвале, на основании 123-ФЗ, ст.27; размещение электрооборудования в специальных шкафах и помещении ВРУ, ввод газопроводов непосредственно снаружи в помещение, где установлено газоиспользующее оборудование, устройство системы молниезащиты не имеющей контакта с горючим теплоизолятором «Авангард»; применение системы контроля метана в воздухе, сблокированной с электромагнитным клапаном; соблюдение норм противопожарных расстояний между зданиями и сооружениями, применение электрооборудования, соответствующего классу пожароопасной зоны П-IIа в пожароопасных помещениях; устройство защиты здания от заноса высокого потенциала по токопроводящим элементам при атмосферных электрических разрядах, молниезащитой здания от прямых ударов молнии; применение противопожарных заполнений проёмов в противопожарных преградах; оборудованием автоматической установкой пожарной сигнализации помещений подвального этажа, за исключением помещений с мокрыми процессами; установка дымовых пожарных извещателей автоматической установки пожарной сигнализации перед входами в лифты на каждом этаже жилой части здания для обеспечения перевода лифтов в режим «Пожарная опасность»; в жилыхпомещениях квартир предусматриваются автономные оптико-электронные пожарные извещатели. В качестве источника противопожарного водоснабжения использован наружный объединённый хозяйственно-питьевой и противопожарный водопровод г. Калининграда. Время прибытия пожарного караула не превышает 10 мин.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Система противодымной защиты – встроенные помещения подвала имеют самостоятельные выходы наружу, изолированные от лестничных клеток жилой части здания; для жилых помещений предусмотрены вентканалы с воздушными затворами, подвальные помещения имеют автономные от жилой части вентканалы, что исключает распространение дыма по ним между этажами.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Сети связи - телефонизация, радиофикация, устройство сетей кабельного телевидения, доступ к сети интернет – на основании ТУ ООО «Газпром Телеком».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• Дом № 4 по ГП – 112 квартир, 8-ми этажный, 4-х секционный с подвалом и встроенными нежилыми помещениями.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Разработаны четыре рядовые секции (№1,№2, №3 и №4). Размер здания в плане 14,39х78,82 м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 xml:space="preserve">Каждая из секций изолирована, имеет одну лестничную клетку и грузопассажирский лифт, соединяющий между собой 1-7 этажи. На всех этажах всех секций размещено по 4 квартиры. В каждой секции 7 надземных этажей. Высота здания 24 м.Высота этажа 3 м. Высота жилых помещений – 2,7 м. Высота подвальных помещений – 2,2 м. Высота межэтажных подсобных помещений – 2,6 м. 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Входы в подвал выполнены отдельно от входов в здание.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подвальном этаже здания располагаются подсобные подвальные помещения для нужд жильцов дома; в секциях №1и №3 расположены насосные; в секциях №2 и № 4 расположены помещения для хранения уборочного инвентаря. Электрощитовые расположены в подвале секций №1 и № 4.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межэтажных лестничных клетках каждой секции за лифтовой шахтой расположены встроенные нежилые подсобные помещения для нужд жильцов дома.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Крыша здания плоская с внутренним водостоком.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Архитектурные, конструктивные и объемно-планировочные решения выполнены идентично дому № 1 по ГП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Количество в составе I этапа строительства квартир и иных объектов недвижимости, передаваемых участникам долевого строительства после получения разрешения на ввод дома в эксплуатацию.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Количество квартир и иных объектов недвижимости, передаваемых участникам долевого строительства в собственность: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квартир–-в доме № 1 по ГП – 56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доме № 4 по ГП - 112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встроенных нежилых помещений: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в доме в доме № 1 по ГП- 32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: 16 подвальных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16 межэтажных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в доме в доме № 4 по ГП- 64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: 32 подвальных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32 межэтажных подсобных помещений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Технические характеристики квартир в соответствии с проектной документацией в обоих домах идентичны: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Фундамент - ленточные из сборных ж/б подушек (бетон класса В30, W8). Стены подвала – из сборных бетонных блоков толщиной 300,400 и 500 мм. Монолитные заделки в стенах подвала выполняются из бетона В15 или полнотелым керамическим кирпичом М150. С целью равномерной передачи нагрузок от вышележащих конструкций зданий на фундаменты и повышения общей жесткости здания предусмотрен монолитный ж/б пояс толщиной 300 мм;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Стены наружные – из силикатного кирпича СУР 100/35 ГОСТ 379-95 на цементно-песчаном растворе М50 толщиной 510 мм. (первый этаж) и 380 мм (со второго по седьмой этаж) с наружным утеплением толщиной 100 мм. каменной ватой.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Стены внутренние – толщиной 380, 510 и 640 мм. из силикатного кирпича СУР 100/35 ГОСТ 379-95 на цементно-песчаном растворе М75.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Перегородки в квартирах – из силикатного кирпича СУР100/35 ГОСТ 379-95 на цементно-песчаном растворе М50 толщиной 120 мм.; в санузлах – из полнотелого керамического кирпича КУРПо 1,4НФ/150/2,0/15/ГОСТ 530-2007.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Межквартирные перегородки – толщиной 220 мм. трёхслойные из эффективного силикатного кирпича СУР 100/15 ГОСТ 379-95 на цементно-песчаном растворе М50 с каменной ватой «PAROC UNS 37» толщиной 40 мм.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Перекрытия - из сборных ж/б многопустотных плит марки ПК по серии 1.141-1 вып.60 и 63 с участками из монолитного ж/б. Утепление перекрытий выполнено теплоизоляционными плитами плотностью 180 и 120 кг/м3 и коэффициентом теплопередачи – 0,045 Вт/м2 оС.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Крыша – плоская, совмещенная, водосток- организованный внутренний.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Вентканалы – из силикатного полнотелого кирпича СУР150/35 ГОСТ 379-95 на цементно-песчаном растворе М75, выше плит перекрытия из полнотелого керамического кирпича КУРПо 1,4НФ/150/2,0/35/ГОСТ 530-2007 на глиняном или цементно-песчаном растворе М50. Утеплены выше отметки перекрытия каменной ватой «PAROC FAS 4».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Дымовые каналы – толщиной 640 и 770 мм. из керамического полнотелого кирпича КУРПо 1,4НФ/150/2,0/50/ГОСТ 530-2007 на цементно-песчаном растворе М75. Утеплены выше отметки перекрытия каменной ватой «PAROC FAS 4».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Плиты лоджий – сборные ж/б.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Плиты балконов – монолитные ж/б.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Вентиляция – в квартирах: приточно-вытяжная с естественным побуждением, вытяжка из санузлов икухонь осуществляется через отдельные вентканалы с воздушными затворами длиной более 2 м. Приток воздуха: через окна с поворотно-откидным открыванием и режимом микровентиляции, в кухнях дополнительно через приточные клапаны в наружных стенах верхней зоне.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• Наружная отделка – штукатурка по системе «Теплоавангард»;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Полы в квартирах – цементная подготовка по утеплителю;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Высота потолков в квартирах -2,7 м;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Высота потолков в подвале – 2,2 м;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Высота потолков в межэтажных подсобных помещениях – 2,6 м;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Система отопления – индивидуальная от газового котла импортного производства, устанавливаемого на кухне и с газовым счетчиком;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Радиаторы отопления – «PURMO»;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• Двери– индивидуальные;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Окна - из металлопластикового профиля с заполнением стеклопакетами.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помещениях квартир поверхности стен штукатурятся, поверхности потолков выравниваются под чистовую отделку.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Функциональное назначение нежилых помещений в многоквартирных домах, не входящих в состав общего имущества многоквартирного дома: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подвальные помещения – 96 шт,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– в доме № 1 по ГП – 32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 доме № 4 по ГП – 64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межэтажные подсобные помещения- 48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– в доме № 1 по ГП – 16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 доме № 4 по ГП – 32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Общее имущество, которое будет находиться в общей долевой собственности участников долевого строительства после получения разрешения на ввод в эксплуатацию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лестничные площадки, коридоры,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лестницы,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подъездные коридоры,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крыша,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вентканалы,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венткамеры,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помещение водомерных узлов и насосов,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тамбур- шлюзы,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электрощитовая,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комнаты уборочного инвентаря,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вводной электрический счетчик,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земельный участок,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уличная парковка,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элементы благоустройства,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лифты, лифтовые и иные шахты.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Предполагаемый срок получения разрешения на ввод в эксплуатацию IV квартал 2016 года в администрации Гурьевского городского округа, уполномоченной в соответствии с законодательством о градостроительной деятельности на выдачу разрешения на ввод в эксплуатацию.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Предполагаемый срок передачи объектов I этапа строительства участникам долевого строительства – 24 ноября 2018 года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II этап строительства – два многоквартирных жилых дома: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Дом № 2 по ГП – 56 квартир, 8-ми этажный, 2-х секционный с подвалом и встроенными нежилыми помещениями.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Разработаны две рядовые секции (№1 и №2). Размер здания в плане 14,39х39,2 м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Каждая из секций изолирована, имеет одну лестничную клетку и грузопассажирский лифт, соединяющий между собой 1-7 этажи. На всех этажах всех секций размещено по 4 квартиры. В каждой секции 7 надземных этажей. Высота здания 24 м.Высота этажа 3 м. Высота жилых помещений – 2,7 м. Высота подвальных помещений – 2,2 м. Высота межэтажных подсобных помещений – 2,6 м. Входы в подвал выполнены отдельно от входов в здание.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подвальном этаже здания располагаются подсобные подвальные помещения для нужд жильцов дома; в секции №1 расположены электрощитовая и насосная; в секции №2 расположено помещение для хранения уборочного инвентаря.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межэтажных лестничных клетках каждой секции за лифтовой шахтой расположены встроенные нежилые подсобные помещения для нужд жильцов дома.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Крыша здания плоская с внутренним водостоком.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• Дом № 3 по ГП – 56 квартир, 8-ми этажный, 2-х секционный с подвалом и встроенными нежилыми помещениями.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Разработаны две рядовые секции (№1 и №2). Размер здания в плане 14,39х39,2 м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Каждая из секций изолирована, имеет одну лестничную клетку и грузопассажирский лифт, соединяющий между собой 1-7 этажи. На всех этажах всех секций размещено по 4 квартиры. В каждой секции 7 надземных этажей. Высота здания 24 м.Высота этажа 3 м. Высота жилых помещений – 2,7 м. Высота подвальных помещений – 2,2 м. Высота межэтажных подсобных помещений – 2,6 м. Входы в подвал выполнены отдельно от входов в здание.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подвальном этаже здания располагаются подсобные подвальные помещения для нужд жильцов дома; в секции №1 расположены электрощитовая и насосная; в секции №2 расположено помещение для хранения уборочного инвентаря.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На межэтажных лестничных клетках каждой секции за лифтовой шахтой расположены встроенные нежилые подсобные помещения для нужд жильцов дома.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Крыша здания плоская с внутренним водостоком.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Архитектурные, конструктивные и объемно-планировочные решения домов № 2 и № 3 по ГП выполнены идентично дому № 1 по ГП.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Количество в составе I этапа строительства квартир и иных объектов недвижимости, передаваемых участникам долевого строительства после получения разрешения на ввод дома в эксплуатацию.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Количество квартир и иных объектов недвижимости, передаваемых участникам долевого строительства в собственность: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квартир–-в доме № 2 по ГП – 56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доме № 3 по ГП - 56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Количество встроенных нежилых помещений: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в доме в доме № 2 по ГП- 32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: 16 подвальных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16 межэтажных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в доме в доме № 3 по ГП- 32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: 16 подвальных подсобных помещений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16 межэтажных подсобных помещений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Технические характеристики квартир в соответствии с проектной документацией в обоих домах идентичны приведённому выше описанию технических характеристик квартир в домах I этапа строительства.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Функциональное назначение нежилых помещений в многоквартирных домах (II этап строительства), не входящих в состав общего имущества многоквартирного дома: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подвальные помещения – 32 шт,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– в доме № 2 по ГП – 16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 доме № 3 по ГП – 16 шт.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межэтажные подсобные помещения- 32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в том числе – в доме № 2 по ГП – 16 шт;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 доме № 3 по ГП – 16 шт.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Общее имущество, которое будет находиться в общей долевой собственности участников долевого строительства после получения разрешения на ввод в эксплуатацию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– лестничные площадки, коридоры,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лестницы,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подъездные коридоры,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крыша,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вентканалы,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венткамеры,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помещение водомерных узлов и насосов,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тамбур- шлюзы,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электрощитовая,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комнаты уборочного инвентаря,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вводной электрический счетчик,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земельный участок,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уличная парковка,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элементы благоустройства,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лифты, лифтовые и иные шахты.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Предполагаемый срок получения разрешения на ввод в эксплуатацию IV квартал 2018 года в администрации Гурьевского городского округа, уполномоченной в соответствии с законодательством о градостроительной деятельности на выдачу разрешения на ввод в эксплуатацию.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Предполагаемый срок передачи объектов I этапа строительства участникам долевого строительства – 28 февраля 2019 года.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Перечень органов государственной власти, органов местного самоуправления и организаций, представители которых участвуют в приемке строящихся многоквартирных домов: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представитель ООО «Макро-Макс»,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Проектная организация ООО «АМ КВАДР»,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Администрация МО «Большеисаковское сельское поселение»,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Администрация Гурьевского городского округа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«Газпром телеком»,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МУП «Водоканал»,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МУП ЖКХ «Гурьевскитй водоканал»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ОАО «Калининградгазификация»,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Эксплуатационная организация.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lastRenderedPageBreak/>
        <w:t>Возможные финансовые и прочие риски при осуществлении проекта строительства жилого комплекса и меры по добровольному страхованию застройщиком таких рисков: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риски отсутствуют.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Планируемая стоимость строительства многоквартирных дома – согласно сметной документации ОАО «Институт Калининграджилкоммунпроект» на момент разработки проекта составляет 786345,5 тыс.руб.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• Перечень организаций, осуществляющих основные строительно - монтажные работы: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«АМ КВАДР» - генпроектирровщик,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«Рекстрой» -генподрядчик,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«Авантаж» - газоснабжение,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«Рекстрой» - электроснабжение,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«Вия» - лифтмонтаж,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- ООО «Вадис» - сети водопровода, канализации, ливнеотведения.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 способе обеспечения исполнения обязательств застройщика по договору. Залог и страхование гражданской ответственности Застройщика.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Иных договоров и сделок, на основании которых привлекаются денежные средства для строительства за исключением привлечения денежных средств на основании договоров долевого участия нет..</w:t>
      </w:r>
    </w:p>
    <w:p w:rsidR="009F1939" w:rsidRPr="009F1939" w:rsidRDefault="009F1939" w:rsidP="009F1939">
      <w:pPr>
        <w:spacing w:after="250" w:line="240" w:lineRule="atLeast"/>
        <w:rPr>
          <w:rFonts w:ascii="Arial" w:eastAsia="Times New Roman" w:hAnsi="Arial" w:cs="Arial"/>
          <w:color w:val="4C4C4C"/>
          <w:sz w:val="15"/>
          <w:szCs w:val="15"/>
          <w:lang w:eastAsia="ru-RU"/>
        </w:rPr>
      </w:pP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t>Директор</w:t>
      </w:r>
      <w:r w:rsidRPr="009F1939">
        <w:rPr>
          <w:rFonts w:ascii="Arial" w:eastAsia="Times New Roman" w:hAnsi="Arial" w:cs="Arial"/>
          <w:color w:val="4C4C4C"/>
          <w:sz w:val="15"/>
          <w:szCs w:val="15"/>
          <w:lang w:eastAsia="ru-RU"/>
        </w:rPr>
        <w:br/>
        <w:t>ООО «Квартал Новый» Дорошок М.Ю.</w:t>
      </w:r>
    </w:p>
    <w:p w:rsidR="006A7CB0" w:rsidRDefault="009F1939"/>
    <w:sectPr w:rsidR="006A7CB0" w:rsidSect="009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F1939"/>
    <w:rsid w:val="0084387C"/>
    <w:rsid w:val="009B2375"/>
    <w:rsid w:val="009F1939"/>
    <w:rsid w:val="00F1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75"/>
  </w:style>
  <w:style w:type="paragraph" w:styleId="3">
    <w:name w:val="heading 3"/>
    <w:basedOn w:val="a"/>
    <w:link w:val="30"/>
    <w:uiPriority w:val="9"/>
    <w:qFormat/>
    <w:rsid w:val="009F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1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4699</Words>
  <Characters>26786</Characters>
  <Application>Microsoft Office Word</Application>
  <DocSecurity>0</DocSecurity>
  <Lines>223</Lines>
  <Paragraphs>62</Paragraphs>
  <ScaleCrop>false</ScaleCrop>
  <Company/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Безотечество</dc:creator>
  <cp:keywords/>
  <dc:description/>
  <cp:lastModifiedBy>Вадим Безотечество</cp:lastModifiedBy>
  <cp:revision>2</cp:revision>
  <dcterms:created xsi:type="dcterms:W3CDTF">2016-06-27T08:29:00Z</dcterms:created>
  <dcterms:modified xsi:type="dcterms:W3CDTF">2016-06-27T08:29:00Z</dcterms:modified>
</cp:coreProperties>
</file>