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b/>
          <w:bCs/>
          <w:color w:val="646464"/>
          <w:sz w:val="30"/>
          <w:szCs w:val="30"/>
          <w:bdr w:val="none" w:sz="0" w:space="0" w:color="auto" w:frame="1"/>
          <w:lang w:eastAsia="ru-RU"/>
        </w:rPr>
        <w:t xml:space="preserve">Проектная декларация  от 19.11.2014 г. По строительству группы жилых домов с объектами сервиса. 1-я и 2-я очереди строительства  по адресу: Иркутская область, г. Иркутск, Куйбышевский район, </w:t>
      </w:r>
      <w:proofErr w:type="spellStart"/>
      <w:proofErr w:type="gramStart"/>
      <w:r w:rsidRPr="00C2103A">
        <w:rPr>
          <w:rFonts w:ascii="Arial" w:eastAsia="Times New Roman" w:hAnsi="Arial" w:cs="Arial"/>
          <w:b/>
          <w:bCs/>
          <w:color w:val="646464"/>
          <w:sz w:val="30"/>
          <w:szCs w:val="30"/>
          <w:bdr w:val="none" w:sz="0" w:space="0" w:color="auto" w:frame="1"/>
          <w:lang w:eastAsia="ru-RU"/>
        </w:rPr>
        <w:t>м-н</w:t>
      </w:r>
      <w:proofErr w:type="spellEnd"/>
      <w:proofErr w:type="gramEnd"/>
      <w:r w:rsidRPr="00C2103A">
        <w:rPr>
          <w:rFonts w:ascii="Arial" w:eastAsia="Times New Roman" w:hAnsi="Arial" w:cs="Arial"/>
          <w:b/>
          <w:bCs/>
          <w:color w:val="646464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C2103A">
        <w:rPr>
          <w:rFonts w:ascii="Arial" w:eastAsia="Times New Roman" w:hAnsi="Arial" w:cs="Arial"/>
          <w:b/>
          <w:bCs/>
          <w:color w:val="646464"/>
          <w:sz w:val="30"/>
          <w:szCs w:val="30"/>
          <w:bdr w:val="none" w:sz="0" w:space="0" w:color="auto" w:frame="1"/>
          <w:lang w:eastAsia="ru-RU"/>
        </w:rPr>
        <w:t>Топкинский</w:t>
      </w:r>
      <w:proofErr w:type="spellEnd"/>
      <w:r w:rsidRPr="00C2103A">
        <w:rPr>
          <w:rFonts w:ascii="Arial" w:eastAsia="Times New Roman" w:hAnsi="Arial" w:cs="Arial"/>
          <w:b/>
          <w:bCs/>
          <w:color w:val="646464"/>
          <w:sz w:val="30"/>
          <w:szCs w:val="30"/>
          <w:bdr w:val="none" w:sz="0" w:space="0" w:color="auto" w:frame="1"/>
          <w:lang w:eastAsia="ru-RU"/>
        </w:rPr>
        <w:t>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1. Информация о застройщике.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1.1. О фирменном наименовании и месте нахождения застройщика.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а) полное фирменное наименование на русском языке: Общество с ограниченной ответственностью Финансовая Компания  «Деловые инвестиции»;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б) сокращенное фирменное наименование на русском языке:  ООО ФК «Деловые инвестиции»;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 xml:space="preserve">в) место нахождения: </w:t>
      </w:r>
      <w:proofErr w:type="gram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Российская Федерация,  г. Иркутск;</w:t>
      </w:r>
      <w:proofErr w:type="gramEnd"/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 xml:space="preserve">г) почтовый адрес: 664025, г. Иркутск, ул. Бограда, д. 2, </w:t>
      </w:r>
      <w:proofErr w:type="spell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оф</w:t>
      </w:r>
      <w:proofErr w:type="spellEnd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 xml:space="preserve"> 19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 xml:space="preserve">1.1.1. Юридический адрес: Российская Федерация, 664003, Иркутская область, </w:t>
      </w:r>
      <w:proofErr w:type="gram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г</w:t>
      </w:r>
      <w:proofErr w:type="gramEnd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. Иркутск, ул. Карла Маркса, 30.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 xml:space="preserve">1.1.2. Фактический адрес: Российская Федерация, 664025, Иркутская область, </w:t>
      </w:r>
      <w:proofErr w:type="gram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г</w:t>
      </w:r>
      <w:proofErr w:type="gramEnd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 xml:space="preserve">. Иркутск, ул. Бограда, д. 2, </w:t>
      </w:r>
      <w:proofErr w:type="spell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оф</w:t>
      </w:r>
      <w:proofErr w:type="spellEnd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 xml:space="preserve"> 19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1.1.3. Телефон, факс (</w:t>
      </w:r>
      <w:proofErr w:type="spell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эл</w:t>
      </w:r>
      <w:proofErr w:type="spellEnd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. адрес):</w:t>
      </w:r>
    </w:p>
    <w:p w:rsidR="00C2103A" w:rsidRPr="00C2103A" w:rsidRDefault="00C2103A" w:rsidP="00C2103A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b/>
          <w:bCs/>
          <w:color w:val="646464"/>
          <w:sz w:val="30"/>
          <w:szCs w:val="30"/>
          <w:bdr w:val="none" w:sz="0" w:space="0" w:color="auto" w:frame="1"/>
          <w:lang w:eastAsia="ru-RU"/>
        </w:rPr>
        <w:t>Приемная (3952) 200-080, 202-100.</w:t>
      </w:r>
    </w:p>
    <w:p w:rsidR="00C2103A" w:rsidRPr="00C2103A" w:rsidRDefault="00C2103A" w:rsidP="00C2103A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b/>
          <w:bCs/>
          <w:color w:val="646464"/>
          <w:sz w:val="30"/>
          <w:szCs w:val="30"/>
          <w:bdr w:val="none" w:sz="0" w:space="0" w:color="auto" w:frame="1"/>
          <w:lang w:eastAsia="ru-RU"/>
        </w:rPr>
        <w:t>Отдел по работе с недвижимостью  (3952) 200-080, 202-100</w:t>
      </w:r>
    </w:p>
    <w:p w:rsidR="00C2103A" w:rsidRPr="00C2103A" w:rsidRDefault="00C2103A" w:rsidP="00C2103A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b/>
          <w:bCs/>
          <w:color w:val="646464"/>
          <w:sz w:val="30"/>
          <w:szCs w:val="30"/>
          <w:bdr w:val="none" w:sz="0" w:space="0" w:color="auto" w:frame="1"/>
          <w:lang w:eastAsia="ru-RU"/>
        </w:rPr>
        <w:t>факс: (3952) 200-080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proofErr w:type="spell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эл</w:t>
      </w:r>
      <w:proofErr w:type="spellEnd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. адрес: mihail.doshin@yandex.ru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1.1.4.  Режим работы:  пн.- пт.  с 09-00 до 18-00 без перерыва</w:t>
      </w: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br/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1.2. О государственной регистрации застройщика.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1.2.1. Данные о государственной регистрации: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свидетельство о государственной регистрации от 17 декабря  2009 года серия 38 № 003132762 выдано Межрайонной инспекцией Федеральной налоговой службы №17 по Иркутской области</w:t>
      </w: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br/>
        <w:t>ОГРН 1093850030801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1.2.2. Данные о постановке на учет в налоговом органе: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 xml:space="preserve">свидетельство </w:t>
      </w:r>
      <w:proofErr w:type="gram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о постановке на учет Российской организации  в налоговом органе по месту нахождения на территории</w:t>
      </w:r>
      <w:proofErr w:type="gramEnd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 xml:space="preserve"> Российской Федерации Серия 38 № 003472000 от 17.12.2009 г. выдано  ИФНС  по Правобережному округу г. Иркутска ИНН 3808211255  КПП 380801001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lastRenderedPageBreak/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1.3. Об учредителях застройщика.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Учредители   (участники)   застройщика,   которые    обладают   пятью   и   более процентами голосов в органе управления юридического лица:</w:t>
      </w:r>
    </w:p>
    <w:p w:rsidR="00C2103A" w:rsidRPr="00C2103A" w:rsidRDefault="00C2103A" w:rsidP="00C2103A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proofErr w:type="spellStart"/>
      <w:r w:rsidRPr="00C2103A">
        <w:rPr>
          <w:rFonts w:ascii="Arial" w:eastAsia="Times New Roman" w:hAnsi="Arial" w:cs="Arial"/>
          <w:b/>
          <w:bCs/>
          <w:color w:val="646464"/>
          <w:sz w:val="30"/>
          <w:szCs w:val="30"/>
          <w:bdr w:val="none" w:sz="0" w:space="0" w:color="auto" w:frame="1"/>
          <w:lang w:eastAsia="ru-RU"/>
        </w:rPr>
        <w:t>Панишев</w:t>
      </w:r>
      <w:proofErr w:type="spellEnd"/>
      <w:r w:rsidRPr="00C2103A">
        <w:rPr>
          <w:rFonts w:ascii="Arial" w:eastAsia="Times New Roman" w:hAnsi="Arial" w:cs="Arial"/>
          <w:b/>
          <w:bCs/>
          <w:color w:val="646464"/>
          <w:sz w:val="30"/>
          <w:szCs w:val="30"/>
          <w:bdr w:val="none" w:sz="0" w:space="0" w:color="auto" w:frame="1"/>
          <w:lang w:eastAsia="ru-RU"/>
        </w:rPr>
        <w:t xml:space="preserve"> Денис Сергеевич – 100%;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1.4. О проектах строительства многоквартирных домов, в которых принимал участие застройщик в течение трех лет, предшествующих опубликованию проектной декларации: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Застройщик в проектах строительства многоквартирных домов в течени</w:t>
      </w:r>
      <w:proofErr w:type="gram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и</w:t>
      </w:r>
      <w:proofErr w:type="gramEnd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 xml:space="preserve"> трех лет, предшествующих опубликованию проектной декларации, участия ранее не принимал.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1.5. О виде лицензируемой деятельности, номере лицензии, сроке ее действия, об органе, выдавшем эту лицензию, 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Деятельность Заказчика строительства не лицензируется и не требует допусков на работу от СРО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 xml:space="preserve">Строительство будет осуществлять генподрядчик ООО «Мастер»  свидетельство № 582 о допуске к работам, которые оказывают влияние на безопасность объектов капитального строительства начало действия с 05 апреля 2010 г.,  выдало некоммерческое партнерство строителей </w:t>
      </w:r>
      <w:proofErr w:type="spell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саморегулируемая</w:t>
      </w:r>
      <w:proofErr w:type="spellEnd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 xml:space="preserve"> организация «</w:t>
      </w:r>
      <w:proofErr w:type="spell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СтройРегион</w:t>
      </w:r>
      <w:proofErr w:type="spellEnd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»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1.6. 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На 01.08.2014г. уставный капитал составляет 35 000 000  руб., предприятие  применяет общий режим налогообложения. Прибыль от деятельности предприятия формируется после сдачи объекта в эксплуатацию.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1.6.1 . Отчетность о финансово-хозяйственной деятельности застройщика по установленным формам.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Документы доступны для ознакомления в офисе Застройщик</w:t>
      </w:r>
      <w:proofErr w:type="gram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а ООО</w:t>
      </w:r>
      <w:proofErr w:type="gramEnd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 ФК «Деловые инвестиции»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lastRenderedPageBreak/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 xml:space="preserve">1.6.2.  </w:t>
      </w:r>
      <w:proofErr w:type="gram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Утвержденные годовые отчеты, бухгалтерские балансы, счета (распределение</w:t>
      </w:r>
      <w:proofErr w:type="gramEnd"/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прибыли) и убытков за три последних года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Документы доступны для ознакомления в офисе Застройщик</w:t>
      </w:r>
      <w:proofErr w:type="gram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а ООО</w:t>
      </w:r>
      <w:proofErr w:type="gramEnd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 xml:space="preserve"> ФК «Деловые инвестиции »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1.6.3. Аудиторское заключение за последний год осуществления застройщиком предпринимательской деятельности.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Документы доступны для ознакомления в офисе Застройщик</w:t>
      </w:r>
      <w:proofErr w:type="gram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а ООО</w:t>
      </w:r>
      <w:proofErr w:type="gramEnd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 xml:space="preserve"> ФК «Деловые инвестиции»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2.1. Цель проекта строительства.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 xml:space="preserve">Строительство группы жилых домов с объектами сервиса. 1-я и 2-я очереди строительства, расположенных по адресу: Иркутская область, г. Иркутск, Куйбышевский район, </w:t>
      </w:r>
      <w:proofErr w:type="spellStart"/>
      <w:proofErr w:type="gram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м-н</w:t>
      </w:r>
      <w:proofErr w:type="spellEnd"/>
      <w:proofErr w:type="gramEnd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 xml:space="preserve"> </w:t>
      </w:r>
      <w:proofErr w:type="spell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Топкинский</w:t>
      </w:r>
      <w:proofErr w:type="spellEnd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2.1.1. Этапы и сроки реализации проекта:</w:t>
      </w: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br/>
        <w:t>Начало строительства –  август  2014 г.</w:t>
      </w: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br/>
        <w:t>Окончание строительства – 4 квартал 2016 г.</w:t>
      </w: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br/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2.1.2. Результаты государственной экспертизы проектной документации.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 xml:space="preserve">Положительное заключение № 97-37-0204/8 по проектной документации «Группа жилых домов с объектами сервиса в Куйбышевском районе </w:t>
      </w:r>
      <w:proofErr w:type="gram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г</w:t>
      </w:r>
      <w:proofErr w:type="gramEnd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. Иркутска в микрорайоне Топкинский.1-я и 2-я очереди» от 30 сентября 2008 г., выдано Агентством государственной экспертизы в строительстве Иркутской области.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2.2. Разрешение на строительство.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 xml:space="preserve">Разрешение на строительство RU38303000-123/08  от 02.10.2008 года, выдано Отделом выдачи разрешительной документации Департамента реализации градостроительной политики комитета по градостроительной политики Администрации </w:t>
      </w:r>
      <w:proofErr w:type="gram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г</w:t>
      </w:r>
      <w:proofErr w:type="gramEnd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. Иркутска. Продлено от 23 июля 2014 года. Действие настоящего разрешения продлено до 31 декабря 2016 года.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2.3. Договор аренды земельного участка.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lastRenderedPageBreak/>
        <w:t>Договор аренды земельного участка  от 27.10.2014 г. № 211/14, заключенный с Министерством имущественных отношений Иркутской области. Распоряжение министра имущественных отношений Иркутской области от 27.10.2014 г. № 504/</w:t>
      </w:r>
      <w:proofErr w:type="spell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з</w:t>
      </w:r>
      <w:proofErr w:type="spellEnd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2.3.1. Собственник земельного участка.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Администрация Иркутской области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2.3.2. Граница и площадь земельного участка по проекту.</w:t>
      </w: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br/>
        <w:t>Кадастровый номер 38:36:000013:17105. Площадь: 12 308 +/- 39  кв. м.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2.3.3. Элементы благоустройства.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Благоустройство и озеленение в границах отведенной территории предусмотрено: устройство тротуаров, проезжая часть с асфальтовым покрытием, установка бордюрного камня, устройство газонов, площадка для отдыха взрослого населения, закрытые и  открытые автомобильные парковки.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2.4. Местонахождение строящейся группы жилых домов.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 xml:space="preserve">Иркутская область, г. Иркутск, Куйбышевский район, </w:t>
      </w:r>
      <w:proofErr w:type="spellStart"/>
      <w:proofErr w:type="gram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м-н</w:t>
      </w:r>
      <w:proofErr w:type="spellEnd"/>
      <w:proofErr w:type="gramEnd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 xml:space="preserve"> </w:t>
      </w:r>
      <w:proofErr w:type="spell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Топкинский</w:t>
      </w:r>
      <w:proofErr w:type="spellEnd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2.4.1. Описание группы жилых домов с объектами сервиса (по проекту).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Жилой дом с объектами сервиса б/с 1-1</w:t>
      </w: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br/>
        <w:t>количество этажей-15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количество квартир-105</w:t>
      </w: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br/>
        <w:t>общая площадь – 6342 кв. м.</w:t>
      </w: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br/>
        <w:t xml:space="preserve">строительный объем –  29 965,6 куб. </w:t>
      </w:r>
      <w:proofErr w:type="gram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м</w:t>
      </w:r>
      <w:proofErr w:type="gramEnd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Жилой дом с объектами сервиса б/с 1-2</w:t>
      </w: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br/>
        <w:t>количество этажей-12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количество квартир-60</w:t>
      </w: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br/>
        <w:t>общая площадь – 4439 кв. м.</w:t>
      </w: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br/>
        <w:t xml:space="preserve">строительный объем –  22 899, куб. </w:t>
      </w:r>
      <w:proofErr w:type="gram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м</w:t>
      </w:r>
      <w:proofErr w:type="gramEnd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Жилой дом с объектами сервиса б/с 2-1</w:t>
      </w: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br/>
        <w:t>количество этажей-15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количество квартир-105</w:t>
      </w: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br/>
        <w:t>общая площадь – 6337 кв. м.</w:t>
      </w: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br/>
        <w:t xml:space="preserve">строительный объем –  29 965,6, куб. </w:t>
      </w:r>
      <w:proofErr w:type="gram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м</w:t>
      </w:r>
      <w:proofErr w:type="gramEnd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lastRenderedPageBreak/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Жилой дом с объектами сервиса б/с 2-2</w:t>
      </w: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br/>
        <w:t>количество этажей-12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количество квартир-60</w:t>
      </w: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br/>
        <w:t>общая площадь – 4476 кв. м.</w:t>
      </w: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br/>
        <w:t xml:space="preserve">строительный объем –  22 899,3 куб. </w:t>
      </w:r>
      <w:proofErr w:type="gram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м</w:t>
      </w:r>
      <w:proofErr w:type="gramEnd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Фундаменты – ленточные. Конструктивная схема – стены и перекрытия из монолитного железобетона, наружные стены – трехслойные, кровли – чердачная, стропильная, с организованным водостоком.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2.6. О составе общего имущества в административном здании, которое будет находиться в общей долевой собственности участников долевого строительства после получения разрешения на ввод  дома в эксплуатацию и передачи объектов долевого строительства участникам долевого строительства: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proofErr w:type="gram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- Крыши, крыльца, лестницы, вспомогательные (технические) площади, обеспечивающие эксплуатацию здания – тепловых узлов, водомерных узлов;</w:t>
      </w:r>
      <w:proofErr w:type="gramEnd"/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- Внутридомовые системы и оборудование, обеспечивающие эксплуатацию здания: системы отопления, водопровода и канализации, электроосвещения, сети связи и телекоммуникаций, насосная станция и прочее;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- внеплощадочные и внутриплощадочные инженерные сети и инженерные объекты (трансформаторные подстанции и пр.), обеспечивающие устойчивую эксплуатацию зданий: теплоснабжение, электроснабжение, водоснабжение, канализация, наружное освещение, телефонизация;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- земельный участок, на котором расположены строящиеся здания и сооружения, с элементами озеленения и благоустройства.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2.7. Предполагаемый срок получения разрешения на ввод в эксплуатацию: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br/>
        <w:t> 4 квартал 2016 года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2.8. Перечень организаций, представители которых участвуют в приемке многоквартирных домов.</w:t>
      </w:r>
    </w:p>
    <w:p w:rsidR="00C2103A" w:rsidRPr="00C2103A" w:rsidRDefault="00C2103A" w:rsidP="00C2103A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b/>
          <w:bCs/>
          <w:color w:val="646464"/>
          <w:sz w:val="30"/>
          <w:szCs w:val="30"/>
          <w:bdr w:val="none" w:sz="0" w:space="0" w:color="auto" w:frame="1"/>
          <w:lang w:eastAsia="ru-RU"/>
        </w:rPr>
        <w:lastRenderedPageBreak/>
        <w:t xml:space="preserve">Отдел выдачи разрешительной документации Департамента реализации градостроительной политики комитета по градостроительной политики Администрации </w:t>
      </w:r>
      <w:proofErr w:type="gramStart"/>
      <w:r w:rsidRPr="00C2103A">
        <w:rPr>
          <w:rFonts w:ascii="Arial" w:eastAsia="Times New Roman" w:hAnsi="Arial" w:cs="Arial"/>
          <w:b/>
          <w:bCs/>
          <w:color w:val="646464"/>
          <w:sz w:val="30"/>
          <w:szCs w:val="30"/>
          <w:bdr w:val="none" w:sz="0" w:space="0" w:color="auto" w:frame="1"/>
          <w:lang w:eastAsia="ru-RU"/>
        </w:rPr>
        <w:t>г</w:t>
      </w:r>
      <w:proofErr w:type="gramEnd"/>
      <w:r w:rsidRPr="00C2103A">
        <w:rPr>
          <w:rFonts w:ascii="Arial" w:eastAsia="Times New Roman" w:hAnsi="Arial" w:cs="Arial"/>
          <w:b/>
          <w:bCs/>
          <w:color w:val="646464"/>
          <w:sz w:val="30"/>
          <w:szCs w:val="30"/>
          <w:bdr w:val="none" w:sz="0" w:space="0" w:color="auto" w:frame="1"/>
          <w:lang w:eastAsia="ru-RU"/>
        </w:rPr>
        <w:t>. Иркутска;</w:t>
      </w:r>
    </w:p>
    <w:p w:rsidR="00C2103A" w:rsidRPr="00C2103A" w:rsidRDefault="00C2103A" w:rsidP="00C2103A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b/>
          <w:bCs/>
          <w:color w:val="646464"/>
          <w:sz w:val="30"/>
          <w:szCs w:val="30"/>
          <w:bdr w:val="none" w:sz="0" w:space="0" w:color="auto" w:frame="1"/>
          <w:lang w:eastAsia="ru-RU"/>
        </w:rPr>
        <w:t>Служба государственного жилищного и строительного надзора Иркутской области.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2.9. Возможные финансовые и прочие риски при осуществлении проекта строительства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proofErr w:type="gram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действия этих обстоятельств.</w:t>
      </w:r>
      <w:proofErr w:type="gramEnd"/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2.9.1. Меры по добровольному страхованию рисков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 xml:space="preserve">Все договоры долевого участия регистрируются в Управлении  </w:t>
      </w:r>
      <w:proofErr w:type="spell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Росреестра</w:t>
      </w:r>
      <w:proofErr w:type="spellEnd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br/>
        <w:t>по Иркутской области, что исключает риск двойной продажи объектов долевого участия и гарантирует юридическую чистоту сделки.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Договоры долевого участия в строительстве можно застраховать от всех финансовых рисков в страховых компаниях города.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2.9.2. Планируемая стоимость строительства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700 млн. руб.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2.10. Перечень организаций – подрядчиков, осуществляющих основные строительно-монтажные и другие работы.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          Генподрядчик:</w:t>
      </w:r>
    </w:p>
    <w:p w:rsidR="00C2103A" w:rsidRPr="00C2103A" w:rsidRDefault="00C2103A" w:rsidP="00C2103A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b/>
          <w:bCs/>
          <w:color w:val="646464"/>
          <w:sz w:val="30"/>
          <w:szCs w:val="30"/>
          <w:bdr w:val="none" w:sz="0" w:space="0" w:color="auto" w:frame="1"/>
          <w:lang w:eastAsia="ru-RU"/>
        </w:rPr>
        <w:t>ООО «Мастер»;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2.11. О способе обеспечения исполнения обязательств застройщика по договору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proofErr w:type="gram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 xml:space="preserve"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(создания) </w:t>
      </w: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lastRenderedPageBreak/>
        <w:t>административного здания с подземной автостоянкой и (или) иного объекта недвижимости, в составе которых будут находиться объекты долевого строительства, земельный участок, принадлежащий застройщику на праве собственности, или право аренды на указанный земельный участок и строящиеся</w:t>
      </w:r>
      <w:proofErr w:type="gramEnd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 xml:space="preserve"> (создаваемые) на этом земельном участке административное здание с подземной автостоянкой и (или) иной объект недвижимости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2.12. Об иных договорах и сделках, на основании которых привлекаются денежные средства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На момент составления настоящей проектной декларации иные договора (сделки) для привлечения денежных сре</w:t>
      </w:r>
      <w:proofErr w:type="gram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дств дл</w:t>
      </w:r>
      <w:proofErr w:type="gramEnd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я строительства не заключались.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Проектная декларация опубликована на сайте  http://www.topkinsky.ru  19.11.2014 года.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 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30"/>
          <w:szCs w:val="30"/>
          <w:lang w:eastAsia="ru-RU"/>
        </w:rPr>
      </w:pP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Директор</w:t>
      </w:r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br/>
        <w:t xml:space="preserve">ООО ФК  «Деловые инвестиции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>Дошин</w:t>
      </w:r>
      <w:proofErr w:type="spellEnd"/>
      <w:r w:rsidRPr="00C2103A">
        <w:rPr>
          <w:rFonts w:ascii="Arial" w:eastAsia="Times New Roman" w:hAnsi="Arial" w:cs="Arial"/>
          <w:color w:val="646464"/>
          <w:sz w:val="30"/>
          <w:szCs w:val="30"/>
          <w:lang w:eastAsia="ru-RU"/>
        </w:rPr>
        <w:t xml:space="preserve"> М. П.</w:t>
      </w:r>
    </w:p>
    <w:p w:rsidR="00C2103A" w:rsidRPr="00C2103A" w:rsidRDefault="00C2103A" w:rsidP="00C2103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060575" cy="1978660"/>
            <wp:effectExtent l="19050" t="0" r="0" b="0"/>
            <wp:docPr id="1" name="i75huxr7imgimage" descr="https://static.wixstatic.com/media/53d27f_4a9e00ce05e44440b8aae9019e9ea3f7.jpg/v1/fill/w_216,h_207,al_c,q_80,usm_0.66_1.00_0.01/53d27f_4a9e00ce05e44440b8aae9019e9ea3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75huxr7imgimage" descr="https://static.wixstatic.com/media/53d27f_4a9e00ce05e44440b8aae9019e9ea3f7.jpg/v1/fill/w_216,h_207,al_c,q_80,usm_0.66_1.00_0.01/53d27f_4a9e00ce05e44440b8aae9019e9ea3f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CB0" w:rsidRDefault="00C2103A"/>
    <w:sectPr w:rsidR="006A7CB0" w:rsidSect="0099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0F9"/>
    <w:multiLevelType w:val="multilevel"/>
    <w:tmpl w:val="4E70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EA2CE6"/>
    <w:multiLevelType w:val="multilevel"/>
    <w:tmpl w:val="4974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6015DB"/>
    <w:multiLevelType w:val="multilevel"/>
    <w:tmpl w:val="3BC6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AA108C"/>
    <w:multiLevelType w:val="multilevel"/>
    <w:tmpl w:val="0424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2103A"/>
    <w:rsid w:val="0084387C"/>
    <w:rsid w:val="009904AF"/>
    <w:rsid w:val="00C2103A"/>
    <w:rsid w:val="00F1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C2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1608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Безотечество</dc:creator>
  <cp:keywords/>
  <dc:description/>
  <cp:lastModifiedBy>Вадим Безотечество</cp:lastModifiedBy>
  <cp:revision>2</cp:revision>
  <dcterms:created xsi:type="dcterms:W3CDTF">2016-06-07T07:25:00Z</dcterms:created>
  <dcterms:modified xsi:type="dcterms:W3CDTF">2016-06-07T07:25:00Z</dcterms:modified>
</cp:coreProperties>
</file>